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9402"/>
      </w:tblGrid>
      <w:tr w:rsidR="00163F94" w:rsidRPr="006A6C26" w14:paraId="6C2396E6" w14:textId="77777777" w:rsidTr="00F65DFC">
        <w:trPr>
          <w:cantSplit/>
          <w:trHeight w:hRule="exact" w:val="5670"/>
        </w:trPr>
        <w:tc>
          <w:tcPr>
            <w:tcW w:w="9402" w:type="dxa"/>
            <w:vAlign w:val="center"/>
          </w:tcPr>
          <w:p w14:paraId="28089407" w14:textId="628539B7" w:rsidR="00163F94" w:rsidRPr="006A6C26" w:rsidRDefault="00163F94" w:rsidP="00F65DFC">
            <w:pPr>
              <w:ind w:right="198"/>
              <w:jc w:val="center"/>
              <w:rPr>
                <w:rFonts w:ascii="Source Sans Pro" w:hAnsi="Source Sans Pro"/>
                <w:color w:val="052D3F" w:themeColor="accent1"/>
              </w:rPr>
            </w:pPr>
          </w:p>
        </w:tc>
      </w:tr>
      <w:tr w:rsidR="00163F94" w:rsidRPr="006A6C26" w14:paraId="1C3A2266" w14:textId="77777777" w:rsidTr="00BF4689">
        <w:trPr>
          <w:cantSplit/>
          <w:trHeight w:hRule="exact" w:val="5234"/>
        </w:trPr>
        <w:tc>
          <w:tcPr>
            <w:tcW w:w="9402" w:type="dxa"/>
            <w:tcMar>
              <w:left w:w="0" w:type="dxa"/>
              <w:right w:w="0" w:type="dxa"/>
            </w:tcMar>
          </w:tcPr>
          <w:p w14:paraId="2C60E4E6" w14:textId="2F19B37F" w:rsidR="00163F94" w:rsidRPr="006A6C26" w:rsidRDefault="00163F94" w:rsidP="004D0A48">
            <w:pPr>
              <w:pStyle w:val="DocTitleWhite"/>
              <w:ind w:right="198"/>
              <w:jc w:val="center"/>
              <w:rPr>
                <w:rFonts w:ascii="Source Sans Pro" w:hAnsi="Source Sans Pro"/>
                <w:b/>
                <w:color w:val="052D3F"/>
              </w:rPr>
            </w:pPr>
            <w:r w:rsidRPr="006A6C26">
              <w:rPr>
                <w:rFonts w:ascii="Source Sans Pro" w:hAnsi="Source Sans Pro"/>
                <w:b/>
                <w:noProof/>
                <w:color w:val="052D3F"/>
                <w:sz w:val="56"/>
              </w:rPr>
              <w:fldChar w:fldCharType="begin"/>
            </w:r>
            <w:r w:rsidRPr="006A6C26">
              <w:rPr>
                <w:rFonts w:ascii="Source Sans Pro" w:hAnsi="Source Sans Pro"/>
                <w:b/>
                <w:noProof/>
                <w:color w:val="052D3F"/>
                <w:sz w:val="56"/>
              </w:rPr>
              <w:instrText xml:space="preserve"> IF </w:instrText>
            </w:r>
            <w:r w:rsidRPr="006A6C26">
              <w:rPr>
                <w:rFonts w:ascii="Source Sans Pro" w:hAnsi="Source Sans Pro"/>
                <w:b/>
                <w:noProof/>
                <w:color w:val="052D3F"/>
                <w:sz w:val="56"/>
              </w:rPr>
              <w:fldChar w:fldCharType="begin"/>
            </w:r>
            <w:r w:rsidRPr="006A6C26">
              <w:rPr>
                <w:rFonts w:ascii="Source Sans Pro" w:hAnsi="Source Sans Pro"/>
                <w:b/>
                <w:noProof/>
                <w:color w:val="052D3F"/>
                <w:sz w:val="56"/>
              </w:rPr>
              <w:instrText xml:space="preserve"> DOCVARIABLE  DocTitle  \* MERGEFORMAT </w:instrText>
            </w:r>
            <w:r w:rsidRPr="006A6C26">
              <w:rPr>
                <w:rFonts w:ascii="Source Sans Pro" w:hAnsi="Source Sans Pro"/>
                <w:b/>
                <w:noProof/>
                <w:color w:val="052D3F"/>
                <w:sz w:val="56"/>
              </w:rPr>
              <w:fldChar w:fldCharType="separate"/>
            </w:r>
            <w:r w:rsidR="00701608" w:rsidRPr="006A6C26">
              <w:rPr>
                <w:rFonts w:ascii="Source Sans Pro" w:hAnsi="Source Sans Pro"/>
                <w:b/>
                <w:bCs/>
                <w:noProof/>
                <w:color w:val="052D3F"/>
                <w:sz w:val="56"/>
                <w:lang w:val="en-US"/>
              </w:rPr>
              <w:instrText>Volunteer it</w:instrText>
            </w:r>
            <w:r w:rsidR="00701608" w:rsidRPr="006A6C26">
              <w:rPr>
                <w:rFonts w:ascii="Source Sans Pro" w:hAnsi="Source Sans Pro"/>
                <w:b/>
                <w:noProof/>
                <w:color w:val="052D3F"/>
                <w:sz w:val="56"/>
              </w:rPr>
              <w:instrText xml:space="preserve"> Yourself Evaluation </w:instrText>
            </w:r>
            <w:r w:rsidRPr="006A6C26">
              <w:rPr>
                <w:rFonts w:ascii="Source Sans Pro" w:hAnsi="Source Sans Pro"/>
                <w:b/>
                <w:noProof/>
                <w:color w:val="052D3F"/>
                <w:sz w:val="56"/>
              </w:rPr>
              <w:fldChar w:fldCharType="end"/>
            </w:r>
            <w:r w:rsidRPr="006A6C26">
              <w:rPr>
                <w:rFonts w:ascii="Source Sans Pro" w:hAnsi="Source Sans Pro"/>
                <w:b/>
                <w:noProof/>
                <w:color w:val="052D3F"/>
                <w:sz w:val="56"/>
              </w:rPr>
              <w:instrText xml:space="preserve"> = "Error! No document variable supplied." " " </w:instrText>
            </w:r>
            <w:r w:rsidRPr="006A6C26">
              <w:rPr>
                <w:rFonts w:ascii="Source Sans Pro" w:hAnsi="Source Sans Pro"/>
                <w:b/>
                <w:noProof/>
                <w:color w:val="052D3F"/>
                <w:sz w:val="56"/>
              </w:rPr>
              <w:fldChar w:fldCharType="begin"/>
            </w:r>
            <w:r w:rsidRPr="006A6C26">
              <w:rPr>
                <w:rFonts w:ascii="Source Sans Pro" w:hAnsi="Source Sans Pro"/>
                <w:b/>
                <w:noProof/>
                <w:color w:val="052D3F"/>
                <w:sz w:val="56"/>
              </w:rPr>
              <w:instrText xml:space="preserve"> DOCVARIABLE  DocTitle \* MERGEFORMAT </w:instrText>
            </w:r>
            <w:r w:rsidRPr="006A6C26">
              <w:rPr>
                <w:rFonts w:ascii="Source Sans Pro" w:hAnsi="Source Sans Pro"/>
                <w:b/>
                <w:noProof/>
                <w:color w:val="052D3F"/>
                <w:sz w:val="56"/>
              </w:rPr>
              <w:fldChar w:fldCharType="separate"/>
            </w:r>
            <w:r w:rsidR="00701608" w:rsidRPr="006A6C26">
              <w:rPr>
                <w:rFonts w:ascii="Source Sans Pro" w:hAnsi="Source Sans Pro"/>
                <w:b/>
                <w:noProof/>
                <w:color w:val="052D3F"/>
                <w:sz w:val="56"/>
              </w:rPr>
              <w:instrText xml:space="preserve">Volunteer it Yourself Evaluation </w:instrText>
            </w:r>
            <w:r w:rsidRPr="006A6C26">
              <w:rPr>
                <w:rFonts w:ascii="Source Sans Pro" w:hAnsi="Source Sans Pro"/>
                <w:b/>
                <w:noProof/>
                <w:color w:val="052D3F"/>
                <w:sz w:val="56"/>
              </w:rPr>
              <w:fldChar w:fldCharType="end"/>
            </w:r>
            <w:r w:rsidRPr="006A6C26">
              <w:rPr>
                <w:rFonts w:ascii="Source Sans Pro" w:hAnsi="Source Sans Pro"/>
                <w:b/>
                <w:noProof/>
                <w:color w:val="052D3F"/>
                <w:sz w:val="56"/>
              </w:rPr>
              <w:instrText xml:space="preserve"> \* MERGEFORMAT </w:instrText>
            </w:r>
            <w:r w:rsidRPr="006A6C26">
              <w:rPr>
                <w:rFonts w:ascii="Source Sans Pro" w:hAnsi="Source Sans Pro"/>
                <w:b/>
                <w:noProof/>
                <w:color w:val="052D3F"/>
                <w:sz w:val="56"/>
              </w:rPr>
              <w:fldChar w:fldCharType="separate"/>
            </w:r>
            <w:r w:rsidR="004D0A48">
              <w:rPr>
                <w:rFonts w:ascii="Source Sans Pro" w:hAnsi="Source Sans Pro"/>
                <w:b/>
                <w:noProof/>
                <w:color w:val="052D3F"/>
                <w:sz w:val="56"/>
              </w:rPr>
              <w:t>Royal Docks Economic Purpose</w:t>
            </w:r>
            <w:r w:rsidR="00701608" w:rsidRPr="006A6C26">
              <w:rPr>
                <w:rFonts w:ascii="Source Sans Pro" w:hAnsi="Source Sans Pro"/>
                <w:b/>
                <w:noProof/>
                <w:color w:val="052D3F"/>
                <w:sz w:val="56"/>
              </w:rPr>
              <w:t xml:space="preserve"> </w:t>
            </w:r>
            <w:r w:rsidRPr="006A6C26">
              <w:rPr>
                <w:rFonts w:ascii="Source Sans Pro" w:hAnsi="Source Sans Pro"/>
                <w:b/>
                <w:noProof/>
                <w:color w:val="052D3F"/>
                <w:sz w:val="56"/>
              </w:rPr>
              <w:fldChar w:fldCharType="end"/>
            </w:r>
          </w:p>
        </w:tc>
      </w:tr>
      <w:tr w:rsidR="004F29CC" w:rsidRPr="006A6C26" w14:paraId="1171EE8D" w14:textId="77777777" w:rsidTr="00BF4689">
        <w:trPr>
          <w:cantSplit/>
          <w:trHeight w:hRule="exact" w:val="1928"/>
        </w:trPr>
        <w:tc>
          <w:tcPr>
            <w:tcW w:w="9402" w:type="dxa"/>
            <w:tcMar>
              <w:left w:w="0" w:type="dxa"/>
              <w:right w:w="0" w:type="dxa"/>
            </w:tcMar>
            <w:vAlign w:val="bottom"/>
          </w:tcPr>
          <w:p w14:paraId="7D466A88" w14:textId="7926E4B0" w:rsidR="009212A8" w:rsidRPr="006A6C26" w:rsidRDefault="00701608" w:rsidP="004D61F1">
            <w:pPr>
              <w:pStyle w:val="DocSubTitleWhite"/>
              <w:ind w:right="198"/>
              <w:rPr>
                <w:rFonts w:ascii="Source Sans Pro" w:hAnsi="Source Sans Pro"/>
                <w:color w:val="052D3F" w:themeColor="accent1"/>
              </w:rPr>
            </w:pPr>
            <w:r w:rsidRPr="006A6C26">
              <w:rPr>
                <w:rFonts w:ascii="Source Sans Pro" w:hAnsi="Source Sans Pro"/>
                <w:color w:val="052D3F"/>
              </w:rPr>
              <w:t xml:space="preserve">A </w:t>
            </w:r>
            <w:r w:rsidR="00766654" w:rsidRPr="006A6C26">
              <w:rPr>
                <w:rFonts w:ascii="Source Sans Pro" w:hAnsi="Source Sans Pro"/>
                <w:color w:val="052D3F"/>
              </w:rPr>
              <w:t>Report by Hatch Regeneris</w:t>
            </w:r>
          </w:p>
        </w:tc>
      </w:tr>
      <w:bookmarkStart w:id="0" w:name="bmkTitlePage"/>
      <w:bookmarkEnd w:id="0"/>
      <w:tr w:rsidR="004F29CC" w:rsidRPr="006A6C26" w14:paraId="5ED9B244" w14:textId="77777777" w:rsidTr="00BF4689">
        <w:trPr>
          <w:cantSplit/>
          <w:trHeight w:hRule="exact" w:val="567"/>
        </w:trPr>
        <w:tc>
          <w:tcPr>
            <w:tcW w:w="9402" w:type="dxa"/>
          </w:tcPr>
          <w:p w14:paraId="5AD95689" w14:textId="51E19D8B" w:rsidR="00163F94" w:rsidRPr="006A6C26" w:rsidRDefault="00762742" w:rsidP="004D61F1">
            <w:pPr>
              <w:pStyle w:val="DocSubTitleWhite"/>
              <w:ind w:right="198"/>
              <w:rPr>
                <w:rFonts w:ascii="Source Sans Pro" w:hAnsi="Source Sans Pro"/>
                <w:color w:val="052D3F"/>
              </w:rPr>
            </w:pPr>
            <w:r w:rsidRPr="006A6C26">
              <w:rPr>
                <w:rFonts w:ascii="Source Sans Pro" w:hAnsi="Source Sans Pro"/>
                <w:color w:val="052D3F"/>
              </w:rPr>
              <w:fldChar w:fldCharType="begin"/>
            </w:r>
            <w:r w:rsidRPr="006A6C26">
              <w:rPr>
                <w:rFonts w:ascii="Source Sans Pro" w:hAnsi="Source Sans Pro"/>
                <w:color w:val="052D3F"/>
              </w:rPr>
              <w:instrText xml:space="preserve"> IF </w:instrText>
            </w:r>
            <w:r w:rsidR="00C0628B" w:rsidRPr="006A6C26">
              <w:rPr>
                <w:rFonts w:ascii="Source Sans Pro" w:hAnsi="Source Sans Pro"/>
                <w:b/>
                <w:bCs/>
                <w:color w:val="052D3F"/>
                <w:lang w:val="en-US"/>
              </w:rPr>
              <w:fldChar w:fldCharType="begin"/>
            </w:r>
            <w:r w:rsidR="00C0628B" w:rsidRPr="006A6C26">
              <w:rPr>
                <w:rFonts w:ascii="Source Sans Pro" w:eastAsiaTheme="minorHAnsi" w:hAnsi="Source Sans Pro"/>
                <w:b/>
                <w:bCs/>
                <w:color w:val="052D3F"/>
                <w:lang w:val="en-US"/>
              </w:rPr>
              <w:instrText xml:space="preserve"> DOCVARIABLE  DocDate \* MERGEFORMAT </w:instrText>
            </w:r>
            <w:r w:rsidR="00C0628B" w:rsidRPr="006A6C26">
              <w:rPr>
                <w:rFonts w:ascii="Source Sans Pro" w:hAnsi="Source Sans Pro"/>
                <w:b/>
                <w:bCs/>
                <w:color w:val="052D3F"/>
                <w:lang w:val="en-US"/>
              </w:rPr>
              <w:fldChar w:fldCharType="separate"/>
            </w:r>
            <w:r w:rsidR="00701608" w:rsidRPr="006A6C26">
              <w:rPr>
                <w:rFonts w:ascii="Source Sans Pro" w:hAnsi="Source Sans Pro"/>
                <w:b/>
                <w:bCs/>
                <w:color w:val="052D3F"/>
                <w:lang w:val="en-US"/>
              </w:rPr>
              <w:instrText>21 March</w:instrText>
            </w:r>
            <w:r w:rsidR="00701608" w:rsidRPr="006A6C26">
              <w:rPr>
                <w:rFonts w:ascii="Source Sans Pro" w:eastAsiaTheme="minorHAnsi" w:hAnsi="Source Sans Pro"/>
                <w:b/>
                <w:bCs/>
                <w:color w:val="052D3F"/>
                <w:lang w:val="en-US"/>
              </w:rPr>
              <w:instrText xml:space="preserve"> 2019</w:instrText>
            </w:r>
            <w:r w:rsidR="00C0628B" w:rsidRPr="006A6C26">
              <w:rPr>
                <w:rFonts w:ascii="Source Sans Pro" w:hAnsi="Source Sans Pro"/>
                <w:b/>
                <w:bCs/>
                <w:color w:val="052D3F"/>
                <w:lang w:val="en-US"/>
              </w:rPr>
              <w:fldChar w:fldCharType="end"/>
            </w:r>
            <w:r w:rsidRPr="006A6C26">
              <w:rPr>
                <w:rFonts w:ascii="Source Sans Pro" w:hAnsi="Source Sans Pro"/>
                <w:color w:val="052D3F"/>
              </w:rPr>
              <w:instrText xml:space="preserve"> = "Error! No document variable supplied." " " </w:instrText>
            </w:r>
            <w:r w:rsidR="00C0628B" w:rsidRPr="006A6C26">
              <w:rPr>
                <w:rFonts w:ascii="Source Sans Pro" w:hAnsi="Source Sans Pro"/>
                <w:color w:val="052D3F"/>
              </w:rPr>
              <w:fldChar w:fldCharType="begin"/>
            </w:r>
            <w:r w:rsidR="00C0628B" w:rsidRPr="006A6C26">
              <w:rPr>
                <w:rFonts w:ascii="Source Sans Pro" w:hAnsi="Source Sans Pro"/>
                <w:color w:val="052D3F"/>
              </w:rPr>
              <w:instrText xml:space="preserve"> DOCVARIABLE  DocDate \* MERGEFORMAT </w:instrText>
            </w:r>
            <w:r w:rsidR="00C0628B" w:rsidRPr="006A6C26">
              <w:rPr>
                <w:rFonts w:ascii="Source Sans Pro" w:hAnsi="Source Sans Pro"/>
                <w:color w:val="052D3F"/>
              </w:rPr>
              <w:fldChar w:fldCharType="separate"/>
            </w:r>
            <w:r w:rsidR="00701608" w:rsidRPr="006A6C26">
              <w:rPr>
                <w:rFonts w:ascii="Source Sans Pro" w:hAnsi="Source Sans Pro"/>
                <w:color w:val="052D3F"/>
              </w:rPr>
              <w:instrText>21 March 2019</w:instrText>
            </w:r>
            <w:r w:rsidR="00C0628B" w:rsidRPr="006A6C26">
              <w:rPr>
                <w:rFonts w:ascii="Source Sans Pro" w:hAnsi="Source Sans Pro"/>
                <w:color w:val="052D3F"/>
              </w:rPr>
              <w:fldChar w:fldCharType="end"/>
            </w:r>
            <w:r w:rsidRPr="006A6C26">
              <w:rPr>
                <w:rFonts w:ascii="Source Sans Pro" w:hAnsi="Source Sans Pro"/>
                <w:color w:val="052D3F"/>
              </w:rPr>
              <w:instrText xml:space="preserve"> \* MERGEFORMAT </w:instrText>
            </w:r>
            <w:r w:rsidRPr="006A6C26">
              <w:rPr>
                <w:rFonts w:ascii="Source Sans Pro" w:hAnsi="Source Sans Pro"/>
                <w:color w:val="052D3F"/>
              </w:rPr>
              <w:fldChar w:fldCharType="separate"/>
            </w:r>
            <w:r w:rsidR="0097080E">
              <w:rPr>
                <w:rFonts w:ascii="Source Sans Pro" w:hAnsi="Source Sans Pro"/>
                <w:noProof/>
                <w:color w:val="052D3F"/>
              </w:rPr>
              <w:t>November</w:t>
            </w:r>
            <w:r w:rsidR="00701608" w:rsidRPr="006A6C26">
              <w:rPr>
                <w:rFonts w:ascii="Source Sans Pro" w:hAnsi="Source Sans Pro"/>
                <w:noProof/>
                <w:color w:val="052D3F"/>
              </w:rPr>
              <w:t xml:space="preserve"> 2019</w:t>
            </w:r>
            <w:r w:rsidRPr="006A6C26">
              <w:rPr>
                <w:rFonts w:ascii="Source Sans Pro" w:hAnsi="Source Sans Pro"/>
                <w:color w:val="052D3F"/>
              </w:rPr>
              <w:fldChar w:fldCharType="end"/>
            </w:r>
          </w:p>
        </w:tc>
      </w:tr>
    </w:tbl>
    <w:p w14:paraId="3A6EFAFE" w14:textId="5EAE1988" w:rsidR="0062209C" w:rsidRPr="006A6C26" w:rsidRDefault="0062209C" w:rsidP="00C3571D">
      <w:pPr>
        <w:ind w:right="198"/>
        <w:rPr>
          <w:rFonts w:ascii="Source Sans Pro" w:hAnsi="Source Sans Pro"/>
        </w:rPr>
        <w:sectPr w:rsidR="0062209C" w:rsidRPr="006A6C26" w:rsidSect="0062209C">
          <w:headerReference w:type="default" r:id="rId12"/>
          <w:headerReference w:type="first" r:id="rId13"/>
          <w:pgSz w:w="11906" w:h="16838" w:code="9"/>
          <w:pgMar w:top="1418" w:right="1247" w:bottom="1588" w:left="1247" w:header="680" w:footer="340" w:gutter="0"/>
          <w:cols w:space="708"/>
          <w:titlePg/>
          <w:docGrid w:linePitch="360"/>
        </w:sectPr>
      </w:pPr>
    </w:p>
    <w:p w14:paraId="7771D68C" w14:textId="77777777" w:rsidR="00990D84" w:rsidRDefault="00654777" w:rsidP="00AC3DA9">
      <w:pPr>
        <w:pStyle w:val="Heading3"/>
        <w:numPr>
          <w:ilvl w:val="0"/>
          <w:numId w:val="0"/>
        </w:numPr>
        <w:spacing w:before="0" w:after="120"/>
        <w:ind w:firstLine="680"/>
        <w:rPr>
          <w:noProof/>
        </w:rPr>
      </w:pPr>
      <w:bookmarkStart w:id="1" w:name="bmkContentsPage"/>
      <w:bookmarkStart w:id="2" w:name="_Toc20750255"/>
      <w:bookmarkEnd w:id="1"/>
      <w:r w:rsidRPr="00AC3DA9">
        <w:rPr>
          <w:rFonts w:eastAsiaTheme="minorHAnsi"/>
          <w:noProof/>
          <w:sz w:val="22"/>
          <w:szCs w:val="20"/>
        </w:rPr>
        <w:lastRenderedPageBreak/>
        <mc:AlternateContent>
          <mc:Choice Requires="wps">
            <w:drawing>
              <wp:anchor distT="0" distB="0" distL="114300" distR="114300" simplePos="0" relativeHeight="251658240" behindDoc="1" locked="0" layoutInCell="1" allowOverlap="1" wp14:anchorId="191BA78F" wp14:editId="6EF62019">
                <wp:simplePos x="0" y="0"/>
                <wp:positionH relativeFrom="margin">
                  <wp:posOffset>392430</wp:posOffset>
                </wp:positionH>
                <wp:positionV relativeFrom="paragraph">
                  <wp:posOffset>14605</wp:posOffset>
                </wp:positionV>
                <wp:extent cx="5613400" cy="5335270"/>
                <wp:effectExtent l="0" t="0" r="6350" b="0"/>
                <wp:wrapTight wrapText="bothSides">
                  <wp:wrapPolygon edited="0">
                    <wp:start x="0" y="0"/>
                    <wp:lineTo x="0" y="21518"/>
                    <wp:lineTo x="21551" y="21518"/>
                    <wp:lineTo x="21551" y="0"/>
                    <wp:lineTo x="0" y="0"/>
                  </wp:wrapPolygon>
                </wp:wrapTight>
                <wp:docPr id="260" name="TextBox 6"/>
                <wp:cNvGraphicFramePr/>
                <a:graphic xmlns:a="http://schemas.openxmlformats.org/drawingml/2006/main">
                  <a:graphicData uri="http://schemas.microsoft.com/office/word/2010/wordprocessingShape">
                    <wps:wsp>
                      <wps:cNvSpPr txBox="1"/>
                      <wps:spPr>
                        <a:xfrm>
                          <a:off x="0" y="0"/>
                          <a:ext cx="5613400" cy="5335270"/>
                        </a:xfrm>
                        <a:prstGeom prst="rect">
                          <a:avLst/>
                        </a:prstGeom>
                        <a:solidFill>
                          <a:srgbClr val="D6DEE3"/>
                        </a:solidFill>
                      </wps:spPr>
                      <wps:txbx>
                        <w:txbxContent>
                          <w:p w14:paraId="3BF8D828" w14:textId="05C818C4" w:rsidR="006F3AC6" w:rsidRPr="00F618D3" w:rsidRDefault="006F3AC6" w:rsidP="00F618D3">
                            <w:pPr>
                              <w:pStyle w:val="NormalWeb"/>
                              <w:spacing w:before="120" w:after="120"/>
                              <w:rPr>
                                <w:rFonts w:ascii="Source Sans Pro" w:eastAsia="+mn-ea" w:hAnsi="Source Sans Pro" w:cs="+mn-cs"/>
                                <w:b/>
                                <w:bCs/>
                                <w:color w:val="425563"/>
                                <w:kern w:val="24"/>
                                <w:sz w:val="28"/>
                              </w:rPr>
                            </w:pPr>
                            <w:r w:rsidRPr="00F618D3">
                              <w:rPr>
                                <w:rFonts w:ascii="Source Sans Pro" w:eastAsia="+mn-ea" w:hAnsi="Source Sans Pro" w:cs="+mn-cs"/>
                                <w:b/>
                                <w:bCs/>
                                <w:color w:val="425563"/>
                                <w:kern w:val="24"/>
                                <w:sz w:val="28"/>
                              </w:rPr>
                              <w:t>What is the Royal Docks Economic Purpose?</w:t>
                            </w:r>
                          </w:p>
                          <w:p w14:paraId="2A250A84" w14:textId="2297DACF" w:rsidR="006F3AC6" w:rsidRDefault="006F3AC6" w:rsidP="006F6CE7">
                            <w:pPr>
                              <w:pStyle w:val="NormalWeb"/>
                              <w:spacing w:before="120" w:after="120"/>
                              <w:rPr>
                                <w:rFonts w:ascii="Source Sans Pro" w:eastAsia="+mn-ea" w:hAnsi="Source Sans Pro" w:cs="+mn-cs"/>
                                <w:color w:val="425563"/>
                                <w:kern w:val="24"/>
                                <w:sz w:val="22"/>
                                <w:szCs w:val="22"/>
                              </w:rPr>
                            </w:pPr>
                            <w:r w:rsidRPr="00F618D3">
                              <w:rPr>
                                <w:rFonts w:ascii="Source Sans Pro" w:eastAsia="+mn-ea" w:hAnsi="Source Sans Pro" w:cs="+mn-cs"/>
                                <w:color w:val="425563"/>
                                <w:kern w:val="24"/>
                                <w:sz w:val="22"/>
                                <w:szCs w:val="22"/>
                              </w:rPr>
                              <w:t xml:space="preserve">This report </w:t>
                            </w:r>
                            <w:r>
                              <w:rPr>
                                <w:rFonts w:ascii="Source Sans Pro" w:eastAsia="+mn-ea" w:hAnsi="Source Sans Pro" w:cs="+mn-cs"/>
                                <w:color w:val="425563"/>
                                <w:kern w:val="24"/>
                                <w:sz w:val="22"/>
                                <w:szCs w:val="22"/>
                              </w:rPr>
                              <w:t>sets out the ‘Economic Purpose’ for the Royal Docks for the coming decades, identifying the ultimate economic goals and objectives that the Royal Docks Team and its partners will pursue for the area.</w:t>
                            </w:r>
                          </w:p>
                          <w:p w14:paraId="7856DB89" w14:textId="51BBE253" w:rsidR="006F3AC6" w:rsidRDefault="006F3AC6" w:rsidP="00652B43">
                            <w:pPr>
                              <w:pStyle w:val="NormalWeb"/>
                              <w:spacing w:before="120" w:after="120"/>
                              <w:rPr>
                                <w:rFonts w:ascii="Source Sans Pro" w:eastAsia="+mn-ea" w:hAnsi="Source Sans Pro" w:cs="+mn-cs"/>
                                <w:color w:val="425563"/>
                                <w:kern w:val="24"/>
                                <w:sz w:val="22"/>
                                <w:szCs w:val="22"/>
                              </w:rPr>
                            </w:pPr>
                            <w:r>
                              <w:rPr>
                                <w:rFonts w:ascii="Source Sans Pro" w:eastAsia="+mn-ea" w:hAnsi="Source Sans Pro" w:cs="+mn-cs"/>
                                <w:color w:val="425563"/>
                                <w:kern w:val="24"/>
                                <w:sz w:val="22"/>
                                <w:szCs w:val="22"/>
                              </w:rPr>
                              <w:t xml:space="preserve">It draws on the findings of a six-month research programme </w:t>
                            </w:r>
                            <w:r w:rsidRPr="00F618D3">
                              <w:rPr>
                                <w:rFonts w:ascii="Source Sans Pro" w:eastAsia="+mn-ea" w:hAnsi="Source Sans Pro" w:cs="+mn-cs"/>
                                <w:color w:val="425563"/>
                                <w:kern w:val="24"/>
                                <w:sz w:val="22"/>
                                <w:szCs w:val="22"/>
                              </w:rPr>
                              <w:t xml:space="preserve">which has included </w:t>
                            </w:r>
                            <w:r>
                              <w:rPr>
                                <w:rFonts w:ascii="Source Sans Pro" w:eastAsia="+mn-ea" w:hAnsi="Source Sans Pro" w:cs="+mn-cs"/>
                                <w:color w:val="425563"/>
                                <w:kern w:val="24"/>
                                <w:sz w:val="22"/>
                                <w:szCs w:val="22"/>
                              </w:rPr>
                              <w:t xml:space="preserve">the development of a detailed economic evidence base for the Royal Docks and for Newham, and an extensive programme of consultation with local businesses and institutions, residents, delivery partners and wider stakeholders. </w:t>
                            </w:r>
                          </w:p>
                          <w:p w14:paraId="770A244F" w14:textId="3A2CC725" w:rsidR="006F3AC6" w:rsidRDefault="006F3AC6" w:rsidP="006F6CE7">
                            <w:pPr>
                              <w:pStyle w:val="NormalWeb"/>
                              <w:spacing w:before="120" w:after="120"/>
                              <w:rPr>
                                <w:rFonts w:ascii="Source Sans Pro" w:eastAsia="+mn-ea" w:hAnsi="Source Sans Pro" w:cs="+mn-cs"/>
                                <w:color w:val="425563"/>
                                <w:kern w:val="24"/>
                                <w:sz w:val="22"/>
                                <w:szCs w:val="22"/>
                              </w:rPr>
                            </w:pPr>
                            <w:r>
                              <w:rPr>
                                <w:rFonts w:ascii="Source Sans Pro" w:eastAsia="+mn-ea" w:hAnsi="Source Sans Pro" w:cs="+mn-cs"/>
                                <w:color w:val="425563"/>
                                <w:kern w:val="24"/>
                                <w:sz w:val="22"/>
                                <w:szCs w:val="22"/>
                              </w:rPr>
                              <w:t>The report builds directly on the direction of travel set out within the Royal Docks Economic Vision (2017) and Royals Docks Delivery Strategy (2018-2023). It forms part of a wider suite of documents</w:t>
                            </w:r>
                            <w:r w:rsidRPr="00EB5036">
                              <w:rPr>
                                <w:rFonts w:ascii="Source Sans Pro" w:eastAsia="+mn-ea" w:hAnsi="Source Sans Pro" w:cs="+mn-cs"/>
                                <w:color w:val="425563"/>
                                <w:kern w:val="24"/>
                                <w:sz w:val="22"/>
                                <w:szCs w:val="22"/>
                              </w:rPr>
                              <w:t xml:space="preserve"> </w:t>
                            </w:r>
                            <w:r>
                              <w:rPr>
                                <w:rFonts w:ascii="Source Sans Pro" w:eastAsia="+mn-ea" w:hAnsi="Source Sans Pro" w:cs="+mn-cs"/>
                                <w:color w:val="425563"/>
                                <w:kern w:val="24"/>
                                <w:sz w:val="22"/>
                                <w:szCs w:val="22"/>
                              </w:rPr>
                              <w:t xml:space="preserve">which together provide a clear steer on the focus of delivery activities over the next five years and beyond: the Royal Docks &amp; Beckton Riverside OAPF, the Royal Docks Public Realm Strategy and the Royal Docks Culture &amp; Placemaking Strategy. </w:t>
                            </w:r>
                          </w:p>
                          <w:p w14:paraId="54894F9F" w14:textId="075EF2D8" w:rsidR="006F3AC6" w:rsidRDefault="006F3AC6" w:rsidP="00944DC9">
                            <w:pPr>
                              <w:pStyle w:val="NormalWeb"/>
                              <w:spacing w:before="120" w:after="120"/>
                              <w:rPr>
                                <w:rFonts w:ascii="Source Sans Pro" w:eastAsia="+mn-ea" w:hAnsi="Source Sans Pro" w:cs="+mn-cs"/>
                                <w:color w:val="425563"/>
                                <w:kern w:val="24"/>
                                <w:sz w:val="22"/>
                                <w:szCs w:val="22"/>
                              </w:rPr>
                            </w:pPr>
                            <w:r>
                              <w:rPr>
                                <w:rFonts w:ascii="Source Sans Pro" w:eastAsia="+mn-ea" w:hAnsi="Source Sans Pro" w:cs="+mn-cs"/>
                                <w:color w:val="425563"/>
                                <w:kern w:val="24"/>
                                <w:sz w:val="22"/>
                                <w:szCs w:val="22"/>
                              </w:rPr>
                              <w:t xml:space="preserve">It sits alongside the London Borough of Newham’s new Economic Strategy, with delivery within the Royal Docks integral to the achievement of the Mayor of Newham’s aspirations to build wealth and prosperity within the Borough’s communities.   </w:t>
                            </w:r>
                          </w:p>
                          <w:p w14:paraId="7F08BFA4" w14:textId="77777777" w:rsidR="006F3AC6" w:rsidRPr="00654777" w:rsidRDefault="006F3AC6" w:rsidP="00654777">
                            <w:pPr>
                              <w:pStyle w:val="NormalWeb"/>
                              <w:spacing w:before="120" w:after="120"/>
                              <w:rPr>
                                <w:rFonts w:ascii="Source Sans Pro" w:eastAsia="+mn-ea" w:hAnsi="Source Sans Pro" w:cs="+mn-cs"/>
                                <w:b/>
                                <w:bCs/>
                                <w:color w:val="425563"/>
                                <w:kern w:val="24"/>
                              </w:rPr>
                            </w:pPr>
                            <w:r w:rsidRPr="00654777">
                              <w:rPr>
                                <w:rFonts w:ascii="Source Sans Pro" w:eastAsia="+mn-ea" w:hAnsi="Source Sans Pro" w:cs="+mn-cs"/>
                                <w:b/>
                                <w:bCs/>
                                <w:color w:val="425563"/>
                                <w:kern w:val="24"/>
                              </w:rPr>
                              <w:t>An Evidence Based Approach</w:t>
                            </w:r>
                          </w:p>
                          <w:p w14:paraId="0DACE660" w14:textId="77777777" w:rsidR="006F3AC6" w:rsidRPr="00654777" w:rsidRDefault="006F3AC6" w:rsidP="00654777">
                            <w:pPr>
                              <w:pStyle w:val="RDParagraph"/>
                              <w:ind w:left="0"/>
                              <w:rPr>
                                <w:color w:val="4A6671" w:themeColor="accent5" w:themeShade="80"/>
                              </w:rPr>
                            </w:pPr>
                            <w:r w:rsidRPr="00654777">
                              <w:rPr>
                                <w:color w:val="4A6671" w:themeColor="accent5" w:themeShade="80"/>
                              </w:rPr>
                              <w:t xml:space="preserve">A detailed economic evidence base has been produced to support the development of the Royal Docks Economic Purpose. </w:t>
                            </w:r>
                          </w:p>
                          <w:p w14:paraId="75CF61D9" w14:textId="1FA4A229" w:rsidR="006F3AC6" w:rsidRPr="00654777" w:rsidRDefault="006F3AC6" w:rsidP="00654777">
                            <w:pPr>
                              <w:pStyle w:val="RDParagraph"/>
                              <w:ind w:left="0"/>
                              <w:rPr>
                                <w:color w:val="4A6671" w:themeColor="accent5" w:themeShade="80"/>
                              </w:rPr>
                            </w:pPr>
                            <w:r w:rsidRPr="00654777">
                              <w:rPr>
                                <w:color w:val="4A6671" w:themeColor="accent5" w:themeShade="80"/>
                              </w:rPr>
                              <w:t xml:space="preserve">The </w:t>
                            </w:r>
                            <w:r>
                              <w:rPr>
                                <w:color w:val="4A6671" w:themeColor="accent5" w:themeShade="80"/>
                              </w:rPr>
                              <w:t>e</w:t>
                            </w:r>
                            <w:r w:rsidRPr="00654777">
                              <w:rPr>
                                <w:color w:val="4A6671" w:themeColor="accent5" w:themeShade="80"/>
                              </w:rPr>
                              <w:t xml:space="preserve">vidence base provides an up to date and granular assessment of the performance of the local economy, the characteristics of local communities, and the current role of the Royal Docks and Newham within London. </w:t>
                            </w:r>
                            <w:r>
                              <w:rPr>
                                <w:color w:val="4A6671" w:themeColor="accent5" w:themeShade="80"/>
                              </w:rPr>
                              <w:t xml:space="preserve"> It</w:t>
                            </w:r>
                            <w:r w:rsidRPr="00654777">
                              <w:rPr>
                                <w:color w:val="4A6671" w:themeColor="accent5" w:themeShade="80"/>
                              </w:rPr>
                              <w:t xml:space="preserve"> acts </w:t>
                            </w:r>
                            <w:r>
                              <w:rPr>
                                <w:color w:val="4A6671" w:themeColor="accent5" w:themeShade="80"/>
                              </w:rPr>
                              <w:t xml:space="preserve">as a </w:t>
                            </w:r>
                            <w:r w:rsidRPr="00654777">
                              <w:rPr>
                                <w:color w:val="4A6671" w:themeColor="accent5" w:themeShade="80"/>
                              </w:rPr>
                              <w:t xml:space="preserve">repository for all relevant statistical information on the Royal Docks and Newham and is presented as an online resource to ‘democratise’ access to information across all communities. </w:t>
                            </w:r>
                          </w:p>
                          <w:p w14:paraId="2FE9B11A" w14:textId="50A17358" w:rsidR="006F3AC6" w:rsidRPr="00654777" w:rsidRDefault="006F3AC6" w:rsidP="00654777">
                            <w:pPr>
                              <w:pStyle w:val="RDParagraph"/>
                              <w:ind w:left="0"/>
                              <w:rPr>
                                <w:color w:val="4A6671" w:themeColor="accent5" w:themeShade="80"/>
                              </w:rPr>
                            </w:pPr>
                            <w:r w:rsidRPr="00654777">
                              <w:rPr>
                                <w:color w:val="4A6671" w:themeColor="accent5" w:themeShade="80"/>
                              </w:rPr>
                              <w:t xml:space="preserve">The full evidence base can be accessed </w:t>
                            </w:r>
                            <w:r>
                              <w:rPr>
                                <w:color w:val="4A6671" w:themeColor="accent5" w:themeShade="80"/>
                              </w:rPr>
                              <w:t>at</w:t>
                            </w:r>
                            <w:r w:rsidRPr="00654777">
                              <w:rPr>
                                <w:color w:val="4A6671" w:themeColor="accent5" w:themeShade="80"/>
                              </w:rPr>
                              <w:t xml:space="preserve"> this </w:t>
                            </w:r>
                            <w:hyperlink r:id="rId14" w:history="1">
                              <w:r w:rsidRPr="00654777">
                                <w:rPr>
                                  <w:rStyle w:val="Hyperlink"/>
                                  <w:rFonts w:ascii="Source Sans Pro" w:hAnsi="Source Sans Pro"/>
                                  <w:color w:val="4A6671" w:themeColor="accent5" w:themeShade="80"/>
                                </w:rPr>
                                <w:t>link</w:t>
                              </w:r>
                            </w:hyperlink>
                            <w:r w:rsidRPr="00654777">
                              <w:rPr>
                                <w:color w:val="4A6671" w:themeColor="accent5" w:themeShade="80"/>
                              </w:rPr>
                              <w:t xml:space="preserve">.  </w:t>
                            </w:r>
                          </w:p>
                          <w:p w14:paraId="6096F0DA" w14:textId="77777777" w:rsidR="006F3AC6" w:rsidRPr="00F618D3" w:rsidRDefault="006F3AC6" w:rsidP="00944DC9">
                            <w:pPr>
                              <w:pStyle w:val="NormalWeb"/>
                              <w:spacing w:before="120" w:after="120"/>
                              <w:rPr>
                                <w:rFonts w:ascii="Source Sans Pro" w:eastAsia="+mn-ea" w:hAnsi="Source Sans Pro" w:cs="+mn-cs"/>
                                <w:color w:val="425563"/>
                                <w:kern w:val="24"/>
                                <w:sz w:val="22"/>
                                <w:szCs w:val="22"/>
                              </w:rPr>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type w14:anchorId="191BA78F" id="_x0000_t202" coordsize="21600,21600" o:spt="202" path="m,l,21600r21600,l21600,xe">
                <v:stroke joinstyle="miter"/>
                <v:path gradientshapeok="t" o:connecttype="rect"/>
              </v:shapetype>
              <v:shape id="TextBox 6" o:spid="_x0000_s1026" type="#_x0000_t202" style="position:absolute;left:0;text-align:left;margin-left:30.9pt;margin-top:1.15pt;width:442pt;height:42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" fillcolor="#d6dee3" stroked="f">
                <v:textbox>
                  <w:txbxContent>
                    <w:p w14:paraId="3BF8D828" w14:textId="05C818C4" w:rsidR="006F3AC6" w:rsidRPr="00F618D3" w:rsidRDefault="006F3AC6" w:rsidP="00F618D3">
                      <w:pPr>
                        <w:pStyle w:val="NormalWeb"/>
                        <w:spacing w:before="120" w:after="120"/>
                        <w:rPr>
                          <w:rFonts w:ascii="Source Sans Pro" w:eastAsia="+mn-ea" w:hAnsi="Source Sans Pro" w:cs="+mn-cs"/>
                          <w:b/>
                          <w:bCs/>
                          <w:color w:val="425563"/>
                          <w:kern w:val="24"/>
                          <w:sz w:val="28"/>
                        </w:rPr>
                      </w:pPr>
                      <w:r w:rsidRPr="00F618D3">
                        <w:rPr>
                          <w:rFonts w:ascii="Source Sans Pro" w:eastAsia="+mn-ea" w:hAnsi="Source Sans Pro" w:cs="+mn-cs"/>
                          <w:b/>
                          <w:bCs/>
                          <w:color w:val="425563"/>
                          <w:kern w:val="24"/>
                          <w:sz w:val="28"/>
                        </w:rPr>
                        <w:t>What is the Royal Docks Economic Purpose?</w:t>
                      </w:r>
                    </w:p>
                    <w:p w14:paraId="2A250A84" w14:textId="2297DACF" w:rsidR="006F3AC6" w:rsidRDefault="006F3AC6" w:rsidP="006F6CE7">
                      <w:pPr>
                        <w:pStyle w:val="NormalWeb"/>
                        <w:spacing w:before="120" w:after="120"/>
                        <w:rPr>
                          <w:rFonts w:ascii="Source Sans Pro" w:eastAsia="+mn-ea" w:hAnsi="Source Sans Pro" w:cs="+mn-cs"/>
                          <w:color w:val="425563"/>
                          <w:kern w:val="24"/>
                          <w:sz w:val="22"/>
                          <w:szCs w:val="22"/>
                        </w:rPr>
                      </w:pPr>
                      <w:r w:rsidRPr="00F618D3">
                        <w:rPr>
                          <w:rFonts w:ascii="Source Sans Pro" w:eastAsia="+mn-ea" w:hAnsi="Source Sans Pro" w:cs="+mn-cs"/>
                          <w:color w:val="425563"/>
                          <w:kern w:val="24"/>
                          <w:sz w:val="22"/>
                          <w:szCs w:val="22"/>
                        </w:rPr>
                        <w:t xml:space="preserve">This report </w:t>
                      </w:r>
                      <w:r>
                        <w:rPr>
                          <w:rFonts w:ascii="Source Sans Pro" w:eastAsia="+mn-ea" w:hAnsi="Source Sans Pro" w:cs="+mn-cs"/>
                          <w:color w:val="425563"/>
                          <w:kern w:val="24"/>
                          <w:sz w:val="22"/>
                          <w:szCs w:val="22"/>
                        </w:rPr>
                        <w:t>sets out the ‘Economic Purpose’ for the Royal Docks for the coming decades, identifying the ultimate economic goals and objectives that the Royal Docks Team and its partners will pursue for the area.</w:t>
                      </w:r>
                    </w:p>
                    <w:p w14:paraId="7856DB89" w14:textId="51BBE253" w:rsidR="006F3AC6" w:rsidRDefault="006F3AC6" w:rsidP="00652B43">
                      <w:pPr>
                        <w:pStyle w:val="NormalWeb"/>
                        <w:spacing w:before="120" w:after="120"/>
                        <w:rPr>
                          <w:rFonts w:ascii="Source Sans Pro" w:eastAsia="+mn-ea" w:hAnsi="Source Sans Pro" w:cs="+mn-cs"/>
                          <w:color w:val="425563"/>
                          <w:kern w:val="24"/>
                          <w:sz w:val="22"/>
                          <w:szCs w:val="22"/>
                        </w:rPr>
                      </w:pPr>
                      <w:r>
                        <w:rPr>
                          <w:rFonts w:ascii="Source Sans Pro" w:eastAsia="+mn-ea" w:hAnsi="Source Sans Pro" w:cs="+mn-cs"/>
                          <w:color w:val="425563"/>
                          <w:kern w:val="24"/>
                          <w:sz w:val="22"/>
                          <w:szCs w:val="22"/>
                        </w:rPr>
                        <w:t xml:space="preserve">It draws on the findings of a six-month research programme </w:t>
                      </w:r>
                      <w:r w:rsidRPr="00F618D3">
                        <w:rPr>
                          <w:rFonts w:ascii="Source Sans Pro" w:eastAsia="+mn-ea" w:hAnsi="Source Sans Pro" w:cs="+mn-cs"/>
                          <w:color w:val="425563"/>
                          <w:kern w:val="24"/>
                          <w:sz w:val="22"/>
                          <w:szCs w:val="22"/>
                        </w:rPr>
                        <w:t xml:space="preserve">which has included </w:t>
                      </w:r>
                      <w:r>
                        <w:rPr>
                          <w:rFonts w:ascii="Source Sans Pro" w:eastAsia="+mn-ea" w:hAnsi="Source Sans Pro" w:cs="+mn-cs"/>
                          <w:color w:val="425563"/>
                          <w:kern w:val="24"/>
                          <w:sz w:val="22"/>
                          <w:szCs w:val="22"/>
                        </w:rPr>
                        <w:t xml:space="preserve">the development of a detailed economic evidence base for the Royal Docks and for Newham, and an extensive programme of consultation with local businesses and institutions, residents, delivery partners and wider stakeholders. </w:t>
                      </w:r>
                    </w:p>
                    <w:p w14:paraId="770A244F" w14:textId="3A2CC725" w:rsidR="006F3AC6" w:rsidRDefault="006F3AC6" w:rsidP="006F6CE7">
                      <w:pPr>
                        <w:pStyle w:val="NormalWeb"/>
                        <w:spacing w:before="120" w:after="120"/>
                        <w:rPr>
                          <w:rFonts w:ascii="Source Sans Pro" w:eastAsia="+mn-ea" w:hAnsi="Source Sans Pro" w:cs="+mn-cs"/>
                          <w:color w:val="425563"/>
                          <w:kern w:val="24"/>
                          <w:sz w:val="22"/>
                          <w:szCs w:val="22"/>
                        </w:rPr>
                      </w:pPr>
                      <w:r>
                        <w:rPr>
                          <w:rFonts w:ascii="Source Sans Pro" w:eastAsia="+mn-ea" w:hAnsi="Source Sans Pro" w:cs="+mn-cs"/>
                          <w:color w:val="425563"/>
                          <w:kern w:val="24"/>
                          <w:sz w:val="22"/>
                          <w:szCs w:val="22"/>
                        </w:rPr>
                        <w:t>The report builds directly on the direction of travel set out within the Royal Docks Economic Vision (2017) and Royals Docks Delivery Strategy (2018-2023). It forms part of a wider suite of documents</w:t>
                      </w:r>
                      <w:r w:rsidRPr="00EB5036">
                        <w:rPr>
                          <w:rFonts w:ascii="Source Sans Pro" w:eastAsia="+mn-ea" w:hAnsi="Source Sans Pro" w:cs="+mn-cs"/>
                          <w:color w:val="425563"/>
                          <w:kern w:val="24"/>
                          <w:sz w:val="22"/>
                          <w:szCs w:val="22"/>
                        </w:rPr>
                        <w:t xml:space="preserve"> </w:t>
                      </w:r>
                      <w:r>
                        <w:rPr>
                          <w:rFonts w:ascii="Source Sans Pro" w:eastAsia="+mn-ea" w:hAnsi="Source Sans Pro" w:cs="+mn-cs"/>
                          <w:color w:val="425563"/>
                          <w:kern w:val="24"/>
                          <w:sz w:val="22"/>
                          <w:szCs w:val="22"/>
                        </w:rPr>
                        <w:t xml:space="preserve">which together provide a clear steer on the focus of delivery activities over the next five years and beyond: the Royal Docks &amp; Beckton Riverside OAPF, the Royal Docks Public Realm Strategy and the Royal Docks Culture &amp; Placemaking Strategy. </w:t>
                      </w:r>
                    </w:p>
                    <w:p w14:paraId="54894F9F" w14:textId="075EF2D8" w:rsidR="006F3AC6" w:rsidRDefault="006F3AC6" w:rsidP="00944DC9">
                      <w:pPr>
                        <w:pStyle w:val="NormalWeb"/>
                        <w:spacing w:before="120" w:after="120"/>
                        <w:rPr>
                          <w:rFonts w:ascii="Source Sans Pro" w:eastAsia="+mn-ea" w:hAnsi="Source Sans Pro" w:cs="+mn-cs"/>
                          <w:color w:val="425563"/>
                          <w:kern w:val="24"/>
                          <w:sz w:val="22"/>
                          <w:szCs w:val="22"/>
                        </w:rPr>
                      </w:pPr>
                      <w:r>
                        <w:rPr>
                          <w:rFonts w:ascii="Source Sans Pro" w:eastAsia="+mn-ea" w:hAnsi="Source Sans Pro" w:cs="+mn-cs"/>
                          <w:color w:val="425563"/>
                          <w:kern w:val="24"/>
                          <w:sz w:val="22"/>
                          <w:szCs w:val="22"/>
                        </w:rPr>
                        <w:t xml:space="preserve">It sits alongside the London Borough of Newham’s new Economic Strategy, with delivery within the Royal Docks integral to the achievement of the Mayor of Newham’s aspirations to build wealth and prosperity within the Borough’s communities.   </w:t>
                      </w:r>
                    </w:p>
                    <w:p w14:paraId="7F08BFA4" w14:textId="77777777" w:rsidR="006F3AC6" w:rsidRPr="00654777" w:rsidRDefault="006F3AC6" w:rsidP="00654777">
                      <w:pPr>
                        <w:pStyle w:val="NormalWeb"/>
                        <w:spacing w:before="120" w:after="120"/>
                        <w:rPr>
                          <w:rFonts w:ascii="Source Sans Pro" w:eastAsia="+mn-ea" w:hAnsi="Source Sans Pro" w:cs="+mn-cs"/>
                          <w:b/>
                          <w:bCs/>
                          <w:color w:val="425563"/>
                          <w:kern w:val="24"/>
                        </w:rPr>
                      </w:pPr>
                      <w:r w:rsidRPr="00654777">
                        <w:rPr>
                          <w:rFonts w:ascii="Source Sans Pro" w:eastAsia="+mn-ea" w:hAnsi="Source Sans Pro" w:cs="+mn-cs"/>
                          <w:b/>
                          <w:bCs/>
                          <w:color w:val="425563"/>
                          <w:kern w:val="24"/>
                        </w:rPr>
                        <w:t>An Evidence Based Approach</w:t>
                      </w:r>
                    </w:p>
                    <w:p w14:paraId="0DACE660" w14:textId="77777777" w:rsidR="006F3AC6" w:rsidRPr="00654777" w:rsidRDefault="006F3AC6" w:rsidP="00654777">
                      <w:pPr>
                        <w:pStyle w:val="RDParagraph"/>
                        <w:ind w:left="0"/>
                        <w:rPr>
                          <w:color w:val="4A6671" w:themeColor="accent5" w:themeShade="80"/>
                        </w:rPr>
                      </w:pPr>
                      <w:r w:rsidRPr="00654777">
                        <w:rPr>
                          <w:color w:val="4A6671" w:themeColor="accent5" w:themeShade="80"/>
                        </w:rPr>
                        <w:t xml:space="preserve">A detailed economic evidence base has been produced to support the development of the Royal Docks Economic Purpose. </w:t>
                      </w:r>
                    </w:p>
                    <w:p w14:paraId="75CF61D9" w14:textId="1FA4A229" w:rsidR="006F3AC6" w:rsidRPr="00654777" w:rsidRDefault="006F3AC6" w:rsidP="00654777">
                      <w:pPr>
                        <w:pStyle w:val="RDParagraph"/>
                        <w:ind w:left="0"/>
                        <w:rPr>
                          <w:color w:val="4A6671" w:themeColor="accent5" w:themeShade="80"/>
                        </w:rPr>
                      </w:pPr>
                      <w:r w:rsidRPr="00654777">
                        <w:rPr>
                          <w:color w:val="4A6671" w:themeColor="accent5" w:themeShade="80"/>
                        </w:rPr>
                        <w:t xml:space="preserve">The </w:t>
                      </w:r>
                      <w:r>
                        <w:rPr>
                          <w:color w:val="4A6671" w:themeColor="accent5" w:themeShade="80"/>
                        </w:rPr>
                        <w:t>e</w:t>
                      </w:r>
                      <w:r w:rsidRPr="00654777">
                        <w:rPr>
                          <w:color w:val="4A6671" w:themeColor="accent5" w:themeShade="80"/>
                        </w:rPr>
                        <w:t xml:space="preserve">vidence base provides an up to date and granular assessment of the performance of the local economy, the characteristics of local communities, and the current role of the Royal Docks and Newham within London. </w:t>
                      </w:r>
                      <w:r>
                        <w:rPr>
                          <w:color w:val="4A6671" w:themeColor="accent5" w:themeShade="80"/>
                        </w:rPr>
                        <w:t xml:space="preserve"> It</w:t>
                      </w:r>
                      <w:r w:rsidRPr="00654777">
                        <w:rPr>
                          <w:color w:val="4A6671" w:themeColor="accent5" w:themeShade="80"/>
                        </w:rPr>
                        <w:t xml:space="preserve"> acts </w:t>
                      </w:r>
                      <w:r>
                        <w:rPr>
                          <w:color w:val="4A6671" w:themeColor="accent5" w:themeShade="80"/>
                        </w:rPr>
                        <w:t xml:space="preserve">as a </w:t>
                      </w:r>
                      <w:r w:rsidRPr="00654777">
                        <w:rPr>
                          <w:color w:val="4A6671" w:themeColor="accent5" w:themeShade="80"/>
                        </w:rPr>
                        <w:t xml:space="preserve">repository for all relevant statistical information on the Royal Docks and Newham and is presented as an online resource to ‘democratise’ access to information across all communities. </w:t>
                      </w:r>
                    </w:p>
                    <w:p w14:paraId="2FE9B11A" w14:textId="50A17358" w:rsidR="006F3AC6" w:rsidRPr="00654777" w:rsidRDefault="006F3AC6" w:rsidP="00654777">
                      <w:pPr>
                        <w:pStyle w:val="RDParagraph"/>
                        <w:ind w:left="0"/>
                        <w:rPr>
                          <w:color w:val="4A6671" w:themeColor="accent5" w:themeShade="80"/>
                        </w:rPr>
                      </w:pPr>
                      <w:r w:rsidRPr="00654777">
                        <w:rPr>
                          <w:color w:val="4A6671" w:themeColor="accent5" w:themeShade="80"/>
                        </w:rPr>
                        <w:t xml:space="preserve">The full evidence base can be accessed </w:t>
                      </w:r>
                      <w:r>
                        <w:rPr>
                          <w:color w:val="4A6671" w:themeColor="accent5" w:themeShade="80"/>
                        </w:rPr>
                        <w:t>at</w:t>
                      </w:r>
                      <w:r w:rsidRPr="00654777">
                        <w:rPr>
                          <w:color w:val="4A6671" w:themeColor="accent5" w:themeShade="80"/>
                        </w:rPr>
                        <w:t xml:space="preserve"> this </w:t>
                      </w:r>
                      <w:hyperlink r:id="rId15" w:history="1">
                        <w:r w:rsidRPr="00654777">
                          <w:rPr>
                            <w:rStyle w:val="Hyperlink"/>
                            <w:rFonts w:ascii="Source Sans Pro" w:hAnsi="Source Sans Pro"/>
                            <w:color w:val="4A6671" w:themeColor="accent5" w:themeShade="80"/>
                          </w:rPr>
                          <w:t>link</w:t>
                        </w:r>
                      </w:hyperlink>
                      <w:r w:rsidRPr="00654777">
                        <w:rPr>
                          <w:color w:val="4A6671" w:themeColor="accent5" w:themeShade="80"/>
                        </w:rPr>
                        <w:t xml:space="preserve">.  </w:t>
                      </w:r>
                    </w:p>
                    <w:p w14:paraId="6096F0DA" w14:textId="77777777" w:rsidR="006F3AC6" w:rsidRPr="00F618D3" w:rsidRDefault="006F3AC6" w:rsidP="00944DC9">
                      <w:pPr>
                        <w:pStyle w:val="NormalWeb"/>
                        <w:spacing w:before="120" w:after="120"/>
                        <w:rPr>
                          <w:rFonts w:ascii="Source Sans Pro" w:eastAsia="+mn-ea" w:hAnsi="Source Sans Pro" w:cs="+mn-cs"/>
                          <w:color w:val="425563"/>
                          <w:kern w:val="24"/>
                          <w:sz w:val="22"/>
                          <w:szCs w:val="22"/>
                        </w:rPr>
                      </w:pPr>
                    </w:p>
                  </w:txbxContent>
                </v:textbox>
                <w10:wrap type="tight" anchorx="margin"/>
              </v:shape>
            </w:pict>
          </mc:Fallback>
        </mc:AlternateContent>
      </w:r>
      <w:r w:rsidR="00EB03AA" w:rsidRPr="00AC3DA9">
        <w:rPr>
          <w:rFonts w:ascii="Source Sans Pro" w:hAnsi="Source Sans Pro"/>
          <w:color w:val="E84B37"/>
          <w:sz w:val="36"/>
        </w:rPr>
        <w:t>C</w:t>
      </w:r>
      <w:r w:rsidR="00766654" w:rsidRPr="00AC3DA9">
        <w:rPr>
          <w:rFonts w:ascii="Source Sans Pro" w:hAnsi="Source Sans Pro"/>
          <w:color w:val="E84B37"/>
          <w:sz w:val="36"/>
        </w:rPr>
        <w:t>ontents</w:t>
      </w:r>
      <w:bookmarkEnd w:id="2"/>
      <w:r w:rsidR="00766654" w:rsidRPr="00AC3DA9">
        <w:rPr>
          <w:rFonts w:ascii="Source Sans Pro" w:hAnsi="Source Sans Pro"/>
          <w:color w:val="E84B37"/>
          <w:sz w:val="36"/>
        </w:rPr>
        <w:t xml:space="preserve"> </w:t>
      </w:r>
      <w:bookmarkStart w:id="3" w:name="bmkAppendixTOC"/>
      <w:r w:rsidR="000F1ECD">
        <w:rPr>
          <w:lang w:val="en-AU"/>
        </w:rPr>
        <w:fldChar w:fldCharType="begin"/>
      </w:r>
      <w:r w:rsidR="000F1ECD">
        <w:rPr>
          <w:lang w:val="en-AU"/>
        </w:rPr>
        <w:instrText xml:space="preserve"> TOC \o "1-1" \h \z \u </w:instrText>
      </w:r>
      <w:r w:rsidR="000F1ECD">
        <w:rPr>
          <w:lang w:val="en-AU"/>
        </w:rPr>
        <w:fldChar w:fldCharType="separate"/>
      </w:r>
    </w:p>
    <w:p w14:paraId="6540B4F0" w14:textId="37C22A75" w:rsidR="00990D84" w:rsidRDefault="006F3AC6">
      <w:pPr>
        <w:pStyle w:val="TOC1"/>
        <w:rPr>
          <w:rFonts w:asciiTheme="minorHAnsi" w:eastAsiaTheme="minorEastAsia" w:hAnsiTheme="minorHAnsi" w:cstheme="minorBidi"/>
          <w:b w:val="0"/>
          <w:bCs w:val="0"/>
          <w:noProof/>
          <w:color w:val="auto"/>
          <w:lang w:val="en-US"/>
        </w:rPr>
      </w:pPr>
      <w:hyperlink w:anchor="_Toc25937439" w:history="1">
        <w:r w:rsidR="00990D84" w:rsidRPr="009664D5">
          <w:rPr>
            <w:rStyle w:val="Hyperlink"/>
            <w:noProof/>
          </w:rPr>
          <w:t>1.</w:t>
        </w:r>
        <w:r w:rsidR="00990D84">
          <w:rPr>
            <w:rFonts w:asciiTheme="minorHAnsi" w:eastAsiaTheme="minorEastAsia" w:hAnsiTheme="minorHAnsi" w:cstheme="minorBidi"/>
            <w:b w:val="0"/>
            <w:bCs w:val="0"/>
            <w:noProof/>
            <w:color w:val="auto"/>
            <w:lang w:val="en-US"/>
          </w:rPr>
          <w:tab/>
        </w:r>
        <w:r w:rsidR="00990D84" w:rsidRPr="009664D5">
          <w:rPr>
            <w:rStyle w:val="Hyperlink"/>
            <w:noProof/>
          </w:rPr>
          <w:t>Royal Docks Economic Purpose</w:t>
        </w:r>
        <w:r w:rsidR="00990D84">
          <w:rPr>
            <w:noProof/>
            <w:webHidden/>
          </w:rPr>
          <w:tab/>
        </w:r>
        <w:r w:rsidR="00990D84">
          <w:rPr>
            <w:noProof/>
            <w:webHidden/>
          </w:rPr>
          <w:fldChar w:fldCharType="begin"/>
        </w:r>
        <w:r w:rsidR="00990D84">
          <w:rPr>
            <w:noProof/>
            <w:webHidden/>
          </w:rPr>
          <w:instrText xml:space="preserve"> PAGEREF _Toc25937439 \h </w:instrText>
        </w:r>
        <w:r w:rsidR="00990D84">
          <w:rPr>
            <w:noProof/>
            <w:webHidden/>
          </w:rPr>
        </w:r>
        <w:r w:rsidR="00990D84">
          <w:rPr>
            <w:noProof/>
            <w:webHidden/>
          </w:rPr>
          <w:fldChar w:fldCharType="separate"/>
        </w:r>
        <w:r w:rsidR="00990D84">
          <w:rPr>
            <w:noProof/>
            <w:webHidden/>
          </w:rPr>
          <w:t>1</w:t>
        </w:r>
        <w:r w:rsidR="00990D84">
          <w:rPr>
            <w:noProof/>
            <w:webHidden/>
          </w:rPr>
          <w:fldChar w:fldCharType="end"/>
        </w:r>
      </w:hyperlink>
    </w:p>
    <w:p w14:paraId="7E6A5398" w14:textId="7279B0F1" w:rsidR="00990D84" w:rsidRDefault="006F3AC6">
      <w:pPr>
        <w:pStyle w:val="TOC1"/>
        <w:rPr>
          <w:rFonts w:asciiTheme="minorHAnsi" w:eastAsiaTheme="minorEastAsia" w:hAnsiTheme="minorHAnsi" w:cstheme="minorBidi"/>
          <w:b w:val="0"/>
          <w:bCs w:val="0"/>
          <w:noProof/>
          <w:color w:val="auto"/>
          <w:lang w:val="en-US"/>
        </w:rPr>
      </w:pPr>
      <w:hyperlink w:anchor="_Toc25937440" w:history="1">
        <w:r w:rsidR="00990D84" w:rsidRPr="009664D5">
          <w:rPr>
            <w:rStyle w:val="Hyperlink"/>
            <w:noProof/>
          </w:rPr>
          <w:t>2.</w:t>
        </w:r>
        <w:r w:rsidR="00990D84">
          <w:rPr>
            <w:rFonts w:asciiTheme="minorHAnsi" w:eastAsiaTheme="minorEastAsia" w:hAnsiTheme="minorHAnsi" w:cstheme="minorBidi"/>
            <w:b w:val="0"/>
            <w:bCs w:val="0"/>
            <w:noProof/>
            <w:color w:val="auto"/>
            <w:lang w:val="en-US"/>
          </w:rPr>
          <w:tab/>
        </w:r>
        <w:r w:rsidR="00990D84" w:rsidRPr="009664D5">
          <w:rPr>
            <w:rStyle w:val="Hyperlink"/>
            <w:noProof/>
          </w:rPr>
          <w:t>The Royal Docks Today</w:t>
        </w:r>
        <w:r w:rsidR="00990D84">
          <w:rPr>
            <w:noProof/>
            <w:webHidden/>
          </w:rPr>
          <w:tab/>
        </w:r>
        <w:r w:rsidR="00990D84">
          <w:rPr>
            <w:noProof/>
            <w:webHidden/>
          </w:rPr>
          <w:fldChar w:fldCharType="begin"/>
        </w:r>
        <w:r w:rsidR="00990D84">
          <w:rPr>
            <w:noProof/>
            <w:webHidden/>
          </w:rPr>
          <w:instrText xml:space="preserve"> PAGEREF _Toc25937440 \h </w:instrText>
        </w:r>
        <w:r w:rsidR="00990D84">
          <w:rPr>
            <w:noProof/>
            <w:webHidden/>
          </w:rPr>
        </w:r>
        <w:r w:rsidR="00990D84">
          <w:rPr>
            <w:noProof/>
            <w:webHidden/>
          </w:rPr>
          <w:fldChar w:fldCharType="separate"/>
        </w:r>
        <w:r w:rsidR="00990D84">
          <w:rPr>
            <w:noProof/>
            <w:webHidden/>
          </w:rPr>
          <w:t>6</w:t>
        </w:r>
        <w:r w:rsidR="00990D84">
          <w:rPr>
            <w:noProof/>
            <w:webHidden/>
          </w:rPr>
          <w:fldChar w:fldCharType="end"/>
        </w:r>
      </w:hyperlink>
    </w:p>
    <w:p w14:paraId="5015EA73" w14:textId="614EB152" w:rsidR="00990D84" w:rsidRDefault="006F3AC6">
      <w:pPr>
        <w:pStyle w:val="TOC1"/>
        <w:rPr>
          <w:rFonts w:asciiTheme="minorHAnsi" w:eastAsiaTheme="minorEastAsia" w:hAnsiTheme="minorHAnsi" w:cstheme="minorBidi"/>
          <w:b w:val="0"/>
          <w:bCs w:val="0"/>
          <w:noProof/>
          <w:color w:val="auto"/>
          <w:lang w:val="en-US"/>
        </w:rPr>
      </w:pPr>
      <w:hyperlink w:anchor="_Toc25937441" w:history="1">
        <w:r w:rsidR="00990D84" w:rsidRPr="009664D5">
          <w:rPr>
            <w:rStyle w:val="Hyperlink"/>
            <w:noProof/>
          </w:rPr>
          <w:t>3.</w:t>
        </w:r>
        <w:r w:rsidR="00990D84">
          <w:rPr>
            <w:rFonts w:asciiTheme="minorHAnsi" w:eastAsiaTheme="minorEastAsia" w:hAnsiTheme="minorHAnsi" w:cstheme="minorBidi"/>
            <w:b w:val="0"/>
            <w:bCs w:val="0"/>
            <w:noProof/>
            <w:color w:val="auto"/>
            <w:lang w:val="en-US"/>
          </w:rPr>
          <w:tab/>
        </w:r>
        <w:r w:rsidR="00990D84" w:rsidRPr="009664D5">
          <w:rPr>
            <w:rStyle w:val="Hyperlink"/>
            <w:noProof/>
          </w:rPr>
          <w:t>Positioning the Royal Docks for Growth</w:t>
        </w:r>
        <w:r w:rsidR="00990D84">
          <w:rPr>
            <w:noProof/>
            <w:webHidden/>
          </w:rPr>
          <w:tab/>
        </w:r>
        <w:r w:rsidR="00990D84">
          <w:rPr>
            <w:noProof/>
            <w:webHidden/>
          </w:rPr>
          <w:fldChar w:fldCharType="begin"/>
        </w:r>
        <w:r w:rsidR="00990D84">
          <w:rPr>
            <w:noProof/>
            <w:webHidden/>
          </w:rPr>
          <w:instrText xml:space="preserve"> PAGEREF _Toc25937441 \h </w:instrText>
        </w:r>
        <w:r w:rsidR="00990D84">
          <w:rPr>
            <w:noProof/>
            <w:webHidden/>
          </w:rPr>
        </w:r>
        <w:r w:rsidR="00990D84">
          <w:rPr>
            <w:noProof/>
            <w:webHidden/>
          </w:rPr>
          <w:fldChar w:fldCharType="separate"/>
        </w:r>
        <w:r w:rsidR="00990D84">
          <w:rPr>
            <w:noProof/>
            <w:webHidden/>
          </w:rPr>
          <w:t>10</w:t>
        </w:r>
        <w:r w:rsidR="00990D84">
          <w:rPr>
            <w:noProof/>
            <w:webHidden/>
          </w:rPr>
          <w:fldChar w:fldCharType="end"/>
        </w:r>
      </w:hyperlink>
    </w:p>
    <w:p w14:paraId="73D01DE8" w14:textId="1AC0B520" w:rsidR="00990D84" w:rsidRDefault="006F3AC6">
      <w:pPr>
        <w:pStyle w:val="TOC1"/>
        <w:rPr>
          <w:rFonts w:asciiTheme="minorHAnsi" w:eastAsiaTheme="minorEastAsia" w:hAnsiTheme="minorHAnsi" w:cstheme="minorBidi"/>
          <w:b w:val="0"/>
          <w:bCs w:val="0"/>
          <w:noProof/>
          <w:color w:val="auto"/>
          <w:lang w:val="en-US"/>
        </w:rPr>
      </w:pPr>
      <w:hyperlink w:anchor="_Toc25937442" w:history="1">
        <w:r w:rsidR="00990D84" w:rsidRPr="009664D5">
          <w:rPr>
            <w:rStyle w:val="Hyperlink"/>
            <w:noProof/>
          </w:rPr>
          <w:t>4.</w:t>
        </w:r>
        <w:r w:rsidR="00990D84">
          <w:rPr>
            <w:rFonts w:asciiTheme="minorHAnsi" w:eastAsiaTheme="minorEastAsia" w:hAnsiTheme="minorHAnsi" w:cstheme="minorBidi"/>
            <w:b w:val="0"/>
            <w:bCs w:val="0"/>
            <w:noProof/>
            <w:color w:val="auto"/>
            <w:lang w:val="en-US"/>
          </w:rPr>
          <w:tab/>
        </w:r>
        <w:r w:rsidR="00990D84" w:rsidRPr="009664D5">
          <w:rPr>
            <w:rStyle w:val="Hyperlink"/>
            <w:noProof/>
          </w:rPr>
          <w:t>Focusing Delivery and Investment</w:t>
        </w:r>
        <w:r w:rsidR="00990D84">
          <w:rPr>
            <w:noProof/>
            <w:webHidden/>
          </w:rPr>
          <w:tab/>
        </w:r>
        <w:r w:rsidR="00990D84">
          <w:rPr>
            <w:noProof/>
            <w:webHidden/>
          </w:rPr>
          <w:fldChar w:fldCharType="begin"/>
        </w:r>
        <w:r w:rsidR="00990D84">
          <w:rPr>
            <w:noProof/>
            <w:webHidden/>
          </w:rPr>
          <w:instrText xml:space="preserve"> PAGEREF _Toc25937442 \h </w:instrText>
        </w:r>
        <w:r w:rsidR="00990D84">
          <w:rPr>
            <w:noProof/>
            <w:webHidden/>
          </w:rPr>
        </w:r>
        <w:r w:rsidR="00990D84">
          <w:rPr>
            <w:noProof/>
            <w:webHidden/>
          </w:rPr>
          <w:fldChar w:fldCharType="separate"/>
        </w:r>
        <w:r w:rsidR="00990D84">
          <w:rPr>
            <w:noProof/>
            <w:webHidden/>
          </w:rPr>
          <w:t>18</w:t>
        </w:r>
        <w:r w:rsidR="00990D84">
          <w:rPr>
            <w:noProof/>
            <w:webHidden/>
          </w:rPr>
          <w:fldChar w:fldCharType="end"/>
        </w:r>
      </w:hyperlink>
    </w:p>
    <w:p w14:paraId="12184F36" w14:textId="172AF62F" w:rsidR="00990D84" w:rsidRDefault="006F3AC6">
      <w:pPr>
        <w:pStyle w:val="TOC1"/>
        <w:rPr>
          <w:rFonts w:asciiTheme="minorHAnsi" w:eastAsiaTheme="minorEastAsia" w:hAnsiTheme="minorHAnsi" w:cstheme="minorBidi"/>
          <w:b w:val="0"/>
          <w:bCs w:val="0"/>
          <w:noProof/>
          <w:color w:val="auto"/>
          <w:lang w:val="en-US"/>
        </w:rPr>
      </w:pPr>
      <w:hyperlink w:anchor="_Toc25937443" w:history="1">
        <w:r w:rsidR="00990D84" w:rsidRPr="009664D5">
          <w:rPr>
            <w:rStyle w:val="Hyperlink"/>
            <w:noProof/>
          </w:rPr>
          <w:t>5.</w:t>
        </w:r>
        <w:r w:rsidR="00990D84">
          <w:rPr>
            <w:rFonts w:asciiTheme="minorHAnsi" w:eastAsiaTheme="minorEastAsia" w:hAnsiTheme="minorHAnsi" w:cstheme="minorBidi"/>
            <w:b w:val="0"/>
            <w:bCs w:val="0"/>
            <w:noProof/>
            <w:color w:val="auto"/>
            <w:lang w:val="en-US"/>
          </w:rPr>
          <w:tab/>
        </w:r>
        <w:r w:rsidR="00990D84" w:rsidRPr="009664D5">
          <w:rPr>
            <w:rStyle w:val="Hyperlink"/>
            <w:noProof/>
          </w:rPr>
          <w:t>Building Local Distinctiveness</w:t>
        </w:r>
        <w:r w:rsidR="00990D84">
          <w:rPr>
            <w:noProof/>
            <w:webHidden/>
          </w:rPr>
          <w:tab/>
        </w:r>
        <w:r w:rsidR="00990D84">
          <w:rPr>
            <w:noProof/>
            <w:webHidden/>
          </w:rPr>
          <w:fldChar w:fldCharType="begin"/>
        </w:r>
        <w:r w:rsidR="00990D84">
          <w:rPr>
            <w:noProof/>
            <w:webHidden/>
          </w:rPr>
          <w:instrText xml:space="preserve"> PAGEREF _Toc25937443 \h </w:instrText>
        </w:r>
        <w:r w:rsidR="00990D84">
          <w:rPr>
            <w:noProof/>
            <w:webHidden/>
          </w:rPr>
        </w:r>
        <w:r w:rsidR="00990D84">
          <w:rPr>
            <w:noProof/>
            <w:webHidden/>
          </w:rPr>
          <w:fldChar w:fldCharType="separate"/>
        </w:r>
        <w:r w:rsidR="00990D84">
          <w:rPr>
            <w:noProof/>
            <w:webHidden/>
          </w:rPr>
          <w:t>36</w:t>
        </w:r>
        <w:r w:rsidR="00990D84">
          <w:rPr>
            <w:noProof/>
            <w:webHidden/>
          </w:rPr>
          <w:fldChar w:fldCharType="end"/>
        </w:r>
      </w:hyperlink>
    </w:p>
    <w:p w14:paraId="49A37CE5" w14:textId="1627FB57" w:rsidR="00990D84" w:rsidRDefault="006F3AC6">
      <w:pPr>
        <w:pStyle w:val="TOC1"/>
        <w:rPr>
          <w:rFonts w:asciiTheme="minorHAnsi" w:eastAsiaTheme="minorEastAsia" w:hAnsiTheme="minorHAnsi" w:cstheme="minorBidi"/>
          <w:b w:val="0"/>
          <w:bCs w:val="0"/>
          <w:noProof/>
          <w:color w:val="auto"/>
          <w:lang w:val="en-US"/>
        </w:rPr>
      </w:pPr>
      <w:hyperlink w:anchor="_Toc25937444" w:history="1">
        <w:r w:rsidR="00990D84" w:rsidRPr="009664D5">
          <w:rPr>
            <w:rStyle w:val="Hyperlink"/>
            <w:noProof/>
          </w:rPr>
          <w:t>6.</w:t>
        </w:r>
        <w:r w:rsidR="00990D84">
          <w:rPr>
            <w:rFonts w:asciiTheme="minorHAnsi" w:eastAsiaTheme="minorEastAsia" w:hAnsiTheme="minorHAnsi" w:cstheme="minorBidi"/>
            <w:b w:val="0"/>
            <w:bCs w:val="0"/>
            <w:noProof/>
            <w:color w:val="auto"/>
            <w:lang w:val="en-US"/>
          </w:rPr>
          <w:tab/>
        </w:r>
        <w:r w:rsidR="00990D84" w:rsidRPr="009664D5">
          <w:rPr>
            <w:rStyle w:val="Hyperlink"/>
            <w:noProof/>
          </w:rPr>
          <w:t>Innovation in Delivery</w:t>
        </w:r>
        <w:r w:rsidR="00990D84">
          <w:rPr>
            <w:noProof/>
            <w:webHidden/>
          </w:rPr>
          <w:tab/>
        </w:r>
        <w:r w:rsidR="00990D84">
          <w:rPr>
            <w:noProof/>
            <w:webHidden/>
          </w:rPr>
          <w:fldChar w:fldCharType="begin"/>
        </w:r>
        <w:r w:rsidR="00990D84">
          <w:rPr>
            <w:noProof/>
            <w:webHidden/>
          </w:rPr>
          <w:instrText xml:space="preserve"> PAGEREF _Toc25937444 \h </w:instrText>
        </w:r>
        <w:r w:rsidR="00990D84">
          <w:rPr>
            <w:noProof/>
            <w:webHidden/>
          </w:rPr>
        </w:r>
        <w:r w:rsidR="00990D84">
          <w:rPr>
            <w:noProof/>
            <w:webHidden/>
          </w:rPr>
          <w:fldChar w:fldCharType="separate"/>
        </w:r>
        <w:r w:rsidR="00990D84">
          <w:rPr>
            <w:noProof/>
            <w:webHidden/>
          </w:rPr>
          <w:t>42</w:t>
        </w:r>
        <w:r w:rsidR="00990D84">
          <w:rPr>
            <w:noProof/>
            <w:webHidden/>
          </w:rPr>
          <w:fldChar w:fldCharType="end"/>
        </w:r>
      </w:hyperlink>
    </w:p>
    <w:p w14:paraId="41CD18AD" w14:textId="3E42A78B" w:rsidR="000F1ECD" w:rsidRDefault="000F1ECD" w:rsidP="00B7158E">
      <w:pPr>
        <w:pStyle w:val="Heading1NoToc"/>
        <w:tabs>
          <w:tab w:val="center" w:pos="4947"/>
        </w:tabs>
        <w:ind w:right="198"/>
        <w:jc w:val="both"/>
        <w:rPr>
          <w:rFonts w:ascii="Source Sans Pro" w:hAnsi="Source Sans Pro"/>
          <w:color w:val="E84B37"/>
        </w:rPr>
        <w:sectPr w:rsidR="000F1ECD" w:rsidSect="000F1ECD">
          <w:footerReference w:type="default" r:id="rId16"/>
          <w:pgSz w:w="11906" w:h="16838" w:code="9"/>
          <w:pgMar w:top="1417" w:right="1247" w:bottom="1587" w:left="1247" w:header="680" w:footer="340" w:gutter="0"/>
          <w:pgNumType w:start="1"/>
          <w:cols w:space="708"/>
          <w:docGrid w:linePitch="360"/>
        </w:sectPr>
      </w:pPr>
      <w:r>
        <w:rPr>
          <w:lang w:val="en-AU"/>
        </w:rPr>
        <w:fldChar w:fldCharType="end"/>
      </w:r>
      <w:bookmarkEnd w:id="3"/>
    </w:p>
    <w:p w14:paraId="68F34213" w14:textId="4F79E190" w:rsidR="009F26A6" w:rsidRPr="00DD60BA" w:rsidRDefault="00D32A4F" w:rsidP="00E42AAF">
      <w:pPr>
        <w:pStyle w:val="Heading1"/>
      </w:pPr>
      <w:bookmarkStart w:id="4" w:name="_Toc20750203"/>
      <w:bookmarkStart w:id="5" w:name="_Toc20750257"/>
      <w:bookmarkStart w:id="6" w:name="_Toc25937439"/>
      <w:r w:rsidRPr="00DD60BA">
        <w:lastRenderedPageBreak/>
        <w:t>Royal Docks Economic Purpose</w:t>
      </w:r>
      <w:bookmarkEnd w:id="4"/>
      <w:bookmarkEnd w:id="5"/>
      <w:bookmarkEnd w:id="6"/>
    </w:p>
    <w:p w14:paraId="5E487602" w14:textId="12D7F161" w:rsidR="00D95DAC" w:rsidRPr="00D95DAC" w:rsidRDefault="006D4B4A" w:rsidP="00E40EF7">
      <w:pPr>
        <w:pStyle w:val="RDIntroText"/>
      </w:pPr>
      <w:r w:rsidRPr="00C75074">
        <w:t>“</w:t>
      </w:r>
      <w:r w:rsidR="00B82257" w:rsidRPr="00C75074">
        <w:t>Over the next two decades, t</w:t>
      </w:r>
      <w:r w:rsidR="00BD3DD4" w:rsidRPr="00C75074">
        <w:t>he Royal Docks will be</w:t>
      </w:r>
      <w:r w:rsidR="00B82257" w:rsidRPr="00C75074">
        <w:t xml:space="preserve">come established </w:t>
      </w:r>
      <w:r w:rsidR="00BD3DD4" w:rsidRPr="00C75074">
        <w:t>as a</w:t>
      </w:r>
      <w:r w:rsidR="00D95DAC" w:rsidRPr="00C75074">
        <w:t xml:space="preserve"> nationally significant hub of enterprise, employment and culture</w:t>
      </w:r>
      <w:r w:rsidR="00B82257" w:rsidRPr="00C75074">
        <w:t xml:space="preserve">. It will be </w:t>
      </w:r>
      <w:r w:rsidR="00D95DAC" w:rsidRPr="00C75074">
        <w:t>recognised as a testbed for</w:t>
      </w:r>
      <w:r w:rsidR="00B82257" w:rsidRPr="00C75074">
        <w:t xml:space="preserve"> </w:t>
      </w:r>
      <w:r w:rsidR="00D95DAC" w:rsidRPr="00C75074">
        <w:t>environmental</w:t>
      </w:r>
      <w:r w:rsidR="00B82257" w:rsidRPr="00C75074">
        <w:t>,</w:t>
      </w:r>
      <w:r w:rsidR="00D95DAC" w:rsidRPr="00C75074">
        <w:t xml:space="preserve"> </w:t>
      </w:r>
      <w:r w:rsidR="00B82257" w:rsidRPr="00C75074">
        <w:t xml:space="preserve">social </w:t>
      </w:r>
      <w:r w:rsidR="00D95DAC" w:rsidRPr="00C75074">
        <w:t>and technological innovation.</w:t>
      </w:r>
      <w:r w:rsidR="00B82257" w:rsidRPr="00C75074">
        <w:t xml:space="preserve"> It will be g</w:t>
      </w:r>
      <w:r w:rsidR="00D95DAC" w:rsidRPr="00C75074">
        <w:t xml:space="preserve">lobally fluent and internationally focussed, harnessing the </w:t>
      </w:r>
      <w:r w:rsidR="00C75074" w:rsidRPr="00C75074">
        <w:t xml:space="preserve">potential </w:t>
      </w:r>
      <w:r w:rsidR="00D95DAC" w:rsidRPr="00C75074">
        <w:t>of Newham’s diverse community</w:t>
      </w:r>
      <w:r w:rsidRPr="00C75074">
        <w:t>”</w:t>
      </w:r>
      <w:r w:rsidR="00D95DAC" w:rsidRPr="00C75074">
        <w:t>.</w:t>
      </w:r>
    </w:p>
    <w:p w14:paraId="69156645" w14:textId="34355B5A" w:rsidR="00476E44" w:rsidRDefault="009E5D3E" w:rsidP="00476E44">
      <w:pPr>
        <w:pStyle w:val="RDTier2"/>
      </w:pPr>
      <w:r>
        <w:t>A Nationally Significant Opportunity</w:t>
      </w:r>
    </w:p>
    <w:p w14:paraId="750159BA" w14:textId="2D45D4CA" w:rsidR="00476E44" w:rsidRDefault="000B262D" w:rsidP="00476E44">
      <w:pPr>
        <w:pStyle w:val="RDParagraph"/>
      </w:pPr>
      <w:r>
        <w:t>T</w:t>
      </w:r>
      <w:r w:rsidR="00476E44" w:rsidRPr="00901B17">
        <w:t xml:space="preserve">he Royal Docks </w:t>
      </w:r>
      <w:r>
        <w:t>is</w:t>
      </w:r>
      <w:r w:rsidR="00476E44" w:rsidRPr="00901B17">
        <w:t xml:space="preserve"> one of London’s most important growth locations. Identified as one of the largest Opportunity Areas in the draft New London Plan, and designated as London’s only Enterprise Zone, the area has the capacity to accommodate over 3</w:t>
      </w:r>
      <w:r w:rsidR="00923D79" w:rsidRPr="00901B17">
        <w:t>0</w:t>
      </w:r>
      <w:r w:rsidR="00476E44" w:rsidRPr="00901B17">
        <w:t>,000 new homes and 40,000 new jobs</w:t>
      </w:r>
      <w:r w:rsidR="002C1B90">
        <w:t xml:space="preserve"> over the next two decades</w:t>
      </w:r>
      <w:r w:rsidR="00476E44" w:rsidRPr="00901B17">
        <w:t>.</w:t>
      </w:r>
      <w:r w:rsidR="00476E44">
        <w:t xml:space="preserve"> </w:t>
      </w:r>
    </w:p>
    <w:p w14:paraId="4FDC2DA7" w14:textId="1806EC66" w:rsidR="00476E44" w:rsidRDefault="00476E44" w:rsidP="00476E44">
      <w:pPr>
        <w:pStyle w:val="RDParagraph"/>
      </w:pPr>
      <w:r>
        <w:t xml:space="preserve">Delivery on this scale </w:t>
      </w:r>
      <w:r w:rsidR="00D2019F">
        <w:t>is</w:t>
      </w:r>
      <w:r>
        <w:t xml:space="preserve"> integral to London’s </w:t>
      </w:r>
      <w:r w:rsidR="00D2019F">
        <w:t>future</w:t>
      </w:r>
      <w:r>
        <w:t xml:space="preserve"> economic vitality and competitiveness. It also offers considerable opportunity for Newham’s communities: providing </w:t>
      </w:r>
      <w:r w:rsidR="0074031E">
        <w:t xml:space="preserve">a new focus </w:t>
      </w:r>
      <w:r w:rsidR="00AA7181">
        <w:t>for</w:t>
      </w:r>
      <w:r w:rsidR="0074031E">
        <w:t xml:space="preserve"> </w:t>
      </w:r>
      <w:r w:rsidR="00D75ABA">
        <w:t>culture and participation</w:t>
      </w:r>
      <w:r w:rsidR="006C611A">
        <w:t>;</w:t>
      </w:r>
      <w:r>
        <w:t xml:space="preserve"> new business and employment opportunities</w:t>
      </w:r>
      <w:r w:rsidR="006C611A">
        <w:t>;</w:t>
      </w:r>
      <w:r>
        <w:t xml:space="preserve"> enhancing access to homes and infrastructure</w:t>
      </w:r>
      <w:r w:rsidR="006C611A">
        <w:t>;</w:t>
      </w:r>
      <w:r>
        <w:t xml:space="preserve"> and improving the quality of amenities and services. </w:t>
      </w:r>
    </w:p>
    <w:p w14:paraId="4D2AF97A" w14:textId="3B2CFBA2" w:rsidR="00732574" w:rsidRDefault="004C318E" w:rsidP="00476E44">
      <w:pPr>
        <w:pStyle w:val="RDParagraph"/>
      </w:pPr>
      <w:r>
        <w:t>T</w:t>
      </w:r>
      <w:r w:rsidR="00476E44" w:rsidRPr="006714E9">
        <w:t>here are</w:t>
      </w:r>
      <w:r>
        <w:t xml:space="preserve"> </w:t>
      </w:r>
      <w:r w:rsidR="00264DA7">
        <w:t xml:space="preserve">however, </w:t>
      </w:r>
      <w:r w:rsidR="00264DA7" w:rsidRPr="006714E9">
        <w:t>significant</w:t>
      </w:r>
      <w:r w:rsidR="00476E44" w:rsidRPr="006714E9">
        <w:t xml:space="preserve"> challenges to overcome to unlock the opportunity and to realise the full benefit for local communities</w:t>
      </w:r>
      <w:r w:rsidR="00195138" w:rsidRPr="006714E9">
        <w:t xml:space="preserve"> and for London as a whole</w:t>
      </w:r>
      <w:r w:rsidR="00FF4CE5" w:rsidRPr="006714E9">
        <w:t>:</w:t>
      </w:r>
      <w:r w:rsidR="00FF4CE5">
        <w:t xml:space="preserve"> </w:t>
      </w:r>
    </w:p>
    <w:p w14:paraId="4FA56196" w14:textId="20255CFB" w:rsidR="009B70A9" w:rsidRPr="009B70A9" w:rsidRDefault="00195138" w:rsidP="009B70A9">
      <w:pPr>
        <w:pStyle w:val="RDBullet"/>
        <w:rPr>
          <w:b/>
        </w:rPr>
      </w:pPr>
      <w:r w:rsidRPr="00785973">
        <w:rPr>
          <w:b/>
        </w:rPr>
        <w:t xml:space="preserve">The scale of </w:t>
      </w:r>
      <w:r w:rsidR="00867E67">
        <w:rPr>
          <w:b/>
        </w:rPr>
        <w:t>the opportunity</w:t>
      </w:r>
      <w:r w:rsidR="00D07CE9">
        <w:rPr>
          <w:b/>
        </w:rPr>
        <w:t xml:space="preserve"> and the complex</w:t>
      </w:r>
      <w:r w:rsidR="00D50B99">
        <w:rPr>
          <w:b/>
        </w:rPr>
        <w:t>ity</w:t>
      </w:r>
      <w:r w:rsidR="00D07CE9">
        <w:rPr>
          <w:b/>
        </w:rPr>
        <w:t xml:space="preserve"> </w:t>
      </w:r>
      <w:r w:rsidR="00867E67">
        <w:rPr>
          <w:b/>
        </w:rPr>
        <w:t>of the area</w:t>
      </w:r>
      <w:r w:rsidRPr="00785973">
        <w:rPr>
          <w:b/>
        </w:rPr>
        <w:t xml:space="preserve">: </w:t>
      </w:r>
      <w:r w:rsidR="00785973">
        <w:t xml:space="preserve">the Royal Docks covers </w:t>
      </w:r>
      <w:r w:rsidR="009B70A9">
        <w:t xml:space="preserve">an area of more than </w:t>
      </w:r>
      <w:r w:rsidR="00583A50">
        <w:t>1,000</w:t>
      </w:r>
      <w:r w:rsidR="009B70A9">
        <w:t xml:space="preserve"> </w:t>
      </w:r>
      <w:r w:rsidR="007457C7">
        <w:t>hectares</w:t>
      </w:r>
      <w:r w:rsidR="009B70A9">
        <w:t xml:space="preserve">, and comprises more than </w:t>
      </w:r>
      <w:r w:rsidR="00016CCA">
        <w:t xml:space="preserve">ten </w:t>
      </w:r>
      <w:r w:rsidR="007457C7">
        <w:t xml:space="preserve">distinct major development opportunities. </w:t>
      </w:r>
      <w:r w:rsidR="006714E9">
        <w:t>Delivery on this scale presents a considerable coordination challenge</w:t>
      </w:r>
      <w:r w:rsidR="00987F7C">
        <w:t>, not least given the varied priorities and timescales of different investors</w:t>
      </w:r>
      <w:r w:rsidR="00471D36">
        <w:t>.</w:t>
      </w:r>
    </w:p>
    <w:p w14:paraId="724B3CE3" w14:textId="4B7AC7BF" w:rsidR="00FF4CE5" w:rsidRPr="00242CFE" w:rsidRDefault="007457C7" w:rsidP="00242CFE">
      <w:pPr>
        <w:pStyle w:val="RDBullet"/>
        <w:rPr>
          <w:b/>
        </w:rPr>
      </w:pPr>
      <w:r>
        <w:rPr>
          <w:b/>
        </w:rPr>
        <w:t>Securing</w:t>
      </w:r>
      <w:r w:rsidR="00452075" w:rsidRPr="00785973">
        <w:rPr>
          <w:b/>
        </w:rPr>
        <w:t xml:space="preserve"> </w:t>
      </w:r>
      <w:r>
        <w:rPr>
          <w:b/>
        </w:rPr>
        <w:t xml:space="preserve">economic </w:t>
      </w:r>
      <w:r w:rsidR="00452075" w:rsidRPr="00785973">
        <w:rPr>
          <w:b/>
        </w:rPr>
        <w:t xml:space="preserve">critical mass: </w:t>
      </w:r>
      <w:r w:rsidR="009C581C">
        <w:t xml:space="preserve">while the Royal Dock’s is already an important hub of employment, </w:t>
      </w:r>
      <w:r w:rsidR="00242CFE">
        <w:t xml:space="preserve">the scale of the opportunity </w:t>
      </w:r>
      <w:r w:rsidR="00EE0FC6">
        <w:t>is such that ‘transformation’ is required in the economic identity and function of the area</w:t>
      </w:r>
      <w:r w:rsidR="00EE0FC6" w:rsidRPr="00067A48">
        <w:t xml:space="preserve">. </w:t>
      </w:r>
      <w:r w:rsidR="00C560F1" w:rsidRPr="00067A48">
        <w:t>In the context of strong growth aspiration</w:t>
      </w:r>
      <w:r w:rsidR="00471D36">
        <w:t>s</w:t>
      </w:r>
      <w:r w:rsidR="00C560F1" w:rsidRPr="00067A48">
        <w:t xml:space="preserve"> across London’s </w:t>
      </w:r>
      <w:r w:rsidR="00067A48" w:rsidRPr="00067A48">
        <w:t>38 Opportunity Areas,</w:t>
      </w:r>
      <w:r w:rsidR="00067A48">
        <w:rPr>
          <w:b/>
        </w:rPr>
        <w:t xml:space="preserve"> </w:t>
      </w:r>
      <w:r w:rsidR="00067A48" w:rsidRPr="00067A48">
        <w:t>establishing a clear narrative on economic purpose from the outset is critically im</w:t>
      </w:r>
      <w:r w:rsidR="00163178">
        <w:t xml:space="preserve">portant to reinforce the case </w:t>
      </w:r>
      <w:r w:rsidR="001802E2">
        <w:t>and steer</w:t>
      </w:r>
      <w:r w:rsidR="00163178">
        <w:t xml:space="preserve"> </w:t>
      </w:r>
      <w:r w:rsidR="006F3561">
        <w:t>the delivery of commercial and employment space</w:t>
      </w:r>
      <w:r w:rsidR="00550B35">
        <w:t xml:space="preserve"> on the scale envisaged</w:t>
      </w:r>
      <w:r w:rsidR="00471D36">
        <w:t>.</w:t>
      </w:r>
    </w:p>
    <w:p w14:paraId="70393F4D" w14:textId="7EC69DCB" w:rsidR="00FF4CE5" w:rsidRPr="00785973" w:rsidRDefault="0099125C" w:rsidP="00FF4CE5">
      <w:pPr>
        <w:pStyle w:val="RDBullet"/>
        <w:rPr>
          <w:b/>
        </w:rPr>
      </w:pPr>
      <w:r>
        <w:rPr>
          <w:b/>
        </w:rPr>
        <w:t xml:space="preserve">Diversity and </w:t>
      </w:r>
      <w:r w:rsidR="00471D36">
        <w:rPr>
          <w:b/>
        </w:rPr>
        <w:t>i</w:t>
      </w:r>
      <w:r w:rsidR="00452075" w:rsidRPr="00785973">
        <w:rPr>
          <w:b/>
        </w:rPr>
        <w:t>nequality within existing communities:</w:t>
      </w:r>
      <w:r w:rsidR="00901B17">
        <w:rPr>
          <w:b/>
        </w:rPr>
        <w:t xml:space="preserve"> </w:t>
      </w:r>
      <w:r w:rsidR="00AD0394">
        <w:t xml:space="preserve">Newham </w:t>
      </w:r>
      <w:r w:rsidR="00BB732B">
        <w:t>is</w:t>
      </w:r>
      <w:r w:rsidR="00AD0394">
        <w:t xml:space="preserve"> home to one of London’s most diverse</w:t>
      </w:r>
      <w:r w:rsidR="00BB732B">
        <w:t xml:space="preserve">, </w:t>
      </w:r>
      <w:r w:rsidR="00AD0394">
        <w:t xml:space="preserve">international </w:t>
      </w:r>
      <w:r w:rsidR="00BB732B">
        <w:t xml:space="preserve">and fastest growing </w:t>
      </w:r>
      <w:r w:rsidR="00AD0394">
        <w:t>communities.</w:t>
      </w:r>
      <w:r w:rsidR="00BB732B">
        <w:t xml:space="preserve"> While </w:t>
      </w:r>
      <w:r w:rsidR="00286254">
        <w:t xml:space="preserve">progress has been made over the last decade in linking </w:t>
      </w:r>
      <w:r w:rsidR="001B76B1">
        <w:t>residents</w:t>
      </w:r>
      <w:r w:rsidR="00286254">
        <w:t xml:space="preserve"> to emerging employment opportunities in the Borough, significant inequality persists locally,</w:t>
      </w:r>
      <w:r w:rsidR="001B76B1">
        <w:t xml:space="preserve"> with Canning Town, Custom House, and North Woolwich among the most deprived locations nationally. </w:t>
      </w:r>
      <w:r w:rsidR="00F52E10">
        <w:t xml:space="preserve">Needs and challenges faced within these communities are complex and changing, and focused action is needed to </w:t>
      </w:r>
      <w:r w:rsidR="00CB56FE">
        <w:t xml:space="preserve">encourage participation and to </w:t>
      </w:r>
      <w:r w:rsidR="0064382D">
        <w:t xml:space="preserve">increase prosperity. </w:t>
      </w:r>
      <w:r w:rsidR="00F52E10">
        <w:t xml:space="preserve"> </w:t>
      </w:r>
    </w:p>
    <w:p w14:paraId="097C9F81" w14:textId="77777777" w:rsidR="00B73769" w:rsidRDefault="003952A2" w:rsidP="00476E44">
      <w:pPr>
        <w:pStyle w:val="RDParagraph"/>
      </w:pPr>
      <w:r>
        <w:t xml:space="preserve">In </w:t>
      </w:r>
      <w:r w:rsidR="008D1F24">
        <w:t>recognition</w:t>
      </w:r>
      <w:r>
        <w:t xml:space="preserve"> of these challenges, and the </w:t>
      </w:r>
      <w:r w:rsidR="008D1F24">
        <w:t>importance of the opportunity, the</w:t>
      </w:r>
      <w:r w:rsidR="00476E44">
        <w:t xml:space="preserve"> Royal Docks Team has been established </w:t>
      </w:r>
      <w:r w:rsidR="004C45F2">
        <w:t xml:space="preserve">to </w:t>
      </w:r>
      <w:r w:rsidR="00476E44">
        <w:t>guide delivery within the Royal Docks</w:t>
      </w:r>
      <w:r w:rsidR="00A33CBC">
        <w:t xml:space="preserve">. A joint venture between the Mayor of London and the London </w:t>
      </w:r>
      <w:r w:rsidR="004D339B">
        <w:t>Borough</w:t>
      </w:r>
      <w:r w:rsidR="00A33CBC">
        <w:t xml:space="preserve"> of Newham, </w:t>
      </w:r>
      <w:r w:rsidR="004D339B">
        <w:t xml:space="preserve">it is tasked with </w:t>
      </w:r>
      <w:r w:rsidR="00476E44">
        <w:t xml:space="preserve">working with developers, businesses and residents to unlock investment and to maximise the benefits of this for local communities, and for London as a whole.  </w:t>
      </w:r>
    </w:p>
    <w:p w14:paraId="4CD04DE3" w14:textId="58734D4A" w:rsidR="00476E44" w:rsidRDefault="00B73769" w:rsidP="00476E44">
      <w:pPr>
        <w:pStyle w:val="RDParagraph"/>
      </w:pPr>
      <w:r>
        <w:lastRenderedPageBreak/>
        <w:t xml:space="preserve">The presence of </w:t>
      </w:r>
      <w:r w:rsidR="00493BFA">
        <w:t>bespoke delivery arrangements</w:t>
      </w:r>
      <w:r w:rsidR="000C6EBF">
        <w:t xml:space="preserve">, </w:t>
      </w:r>
      <w:r w:rsidR="00AD28BB">
        <w:t>and a significant</w:t>
      </w:r>
      <w:r w:rsidR="00493BFA">
        <w:t xml:space="preserve"> public sector</w:t>
      </w:r>
      <w:r w:rsidR="00AD28BB">
        <w:t xml:space="preserve"> funding pot of </w:t>
      </w:r>
      <w:r w:rsidR="000A3ED5">
        <w:t>of £212.5</w:t>
      </w:r>
      <w:r w:rsidR="00CE06F0">
        <w:t>m over the period to 2023</w:t>
      </w:r>
      <w:r w:rsidR="00306BEF">
        <w:t xml:space="preserve">, </w:t>
      </w:r>
      <w:r w:rsidR="00493BFA">
        <w:t xml:space="preserve">marks the Royal Docks as unique in London and </w:t>
      </w:r>
      <w:r w:rsidR="00306BEF">
        <w:t>sets the basis for long commitment and investment.</w:t>
      </w:r>
    </w:p>
    <w:p w14:paraId="2317C0AC" w14:textId="7621608E" w:rsidR="00042F6E" w:rsidRPr="00042F6E" w:rsidRDefault="009E5D3E" w:rsidP="00400D50">
      <w:pPr>
        <w:pStyle w:val="Heading3"/>
        <w:numPr>
          <w:ilvl w:val="0"/>
          <w:numId w:val="0"/>
        </w:numPr>
        <w:spacing w:before="0" w:after="120"/>
        <w:ind w:left="680" w:right="198"/>
        <w:jc w:val="both"/>
        <w:rPr>
          <w:rFonts w:ascii="Source Sans Pro" w:hAnsi="Source Sans Pro"/>
          <w:color w:val="052D3F" w:themeColor="accent1"/>
          <w:sz w:val="30"/>
        </w:rPr>
      </w:pPr>
      <w:r>
        <w:rPr>
          <w:rFonts w:ascii="Source Sans Pro" w:hAnsi="Source Sans Pro"/>
          <w:color w:val="052D3F" w:themeColor="accent1"/>
          <w:sz w:val="30"/>
        </w:rPr>
        <w:t>A Distinct</w:t>
      </w:r>
      <w:r w:rsidR="00DB1E99">
        <w:rPr>
          <w:rFonts w:ascii="Source Sans Pro" w:hAnsi="Source Sans Pro"/>
          <w:color w:val="052D3F" w:themeColor="accent1"/>
          <w:sz w:val="30"/>
        </w:rPr>
        <w:t xml:space="preserve"> Economic Purpose and Role</w:t>
      </w:r>
      <w:r w:rsidR="006D4B4A">
        <w:rPr>
          <w:rFonts w:ascii="Source Sans Pro" w:hAnsi="Source Sans Pro"/>
          <w:color w:val="052D3F" w:themeColor="accent1"/>
          <w:sz w:val="30"/>
        </w:rPr>
        <w:t xml:space="preserve"> </w:t>
      </w:r>
    </w:p>
    <w:p w14:paraId="29FE49D7" w14:textId="78B2CAAC" w:rsidR="003458E5" w:rsidRDefault="00B30F47" w:rsidP="00D85459">
      <w:pPr>
        <w:pStyle w:val="RDParagraph"/>
      </w:pPr>
      <w:r>
        <w:t xml:space="preserve">The </w:t>
      </w:r>
      <w:r w:rsidR="00CC29AF">
        <w:t>Royal Docks Economic Purpose</w:t>
      </w:r>
      <w:r w:rsidR="002B532E">
        <w:t xml:space="preserve"> </w:t>
      </w:r>
      <w:r w:rsidR="0014545B">
        <w:t xml:space="preserve">provides parameters to </w:t>
      </w:r>
      <w:r w:rsidR="00DB1E99">
        <w:t>frame</w:t>
      </w:r>
      <w:r w:rsidR="00B9651B">
        <w:t xml:space="preserve"> delivery </w:t>
      </w:r>
      <w:r w:rsidR="00D504C2">
        <w:t xml:space="preserve">across the area </w:t>
      </w:r>
      <w:r w:rsidR="00B9651B">
        <w:t>over the coming decades</w:t>
      </w:r>
      <w:r w:rsidR="0014545B">
        <w:t xml:space="preserve">. </w:t>
      </w:r>
    </w:p>
    <w:p w14:paraId="01CD342D" w14:textId="63CCE50F" w:rsidR="007C7CBC" w:rsidRDefault="0041651E" w:rsidP="000021CA">
      <w:pPr>
        <w:pStyle w:val="RDParagraph"/>
      </w:pPr>
      <w:r w:rsidRPr="00EF65ED">
        <w:t xml:space="preserve">At its foundation, </w:t>
      </w:r>
      <w:r w:rsidR="006F2C2A">
        <w:t>it</w:t>
      </w:r>
      <w:r w:rsidRPr="00EF65ED">
        <w:t xml:space="preserve"> </w:t>
      </w:r>
      <w:r w:rsidR="006A2AF3" w:rsidRPr="00EF65ED">
        <w:t>focuses on the</w:t>
      </w:r>
      <w:r w:rsidR="008A2F6D" w:rsidRPr="00EF65ED">
        <w:t xml:space="preserve"> need </w:t>
      </w:r>
      <w:r w:rsidR="00E827E6" w:rsidRPr="00EF65ED">
        <w:t>to</w:t>
      </w:r>
      <w:r w:rsidR="008A2F6D" w:rsidRPr="00EF65ED">
        <w:t xml:space="preserve"> </w:t>
      </w:r>
      <w:r w:rsidR="001A1E06" w:rsidRPr="00EF65ED">
        <w:t xml:space="preserve">create jobs and </w:t>
      </w:r>
      <w:r w:rsidR="00316114" w:rsidRPr="00EF65ED">
        <w:t xml:space="preserve">establish </w:t>
      </w:r>
      <w:r w:rsidR="00316114" w:rsidRPr="00333326">
        <w:rPr>
          <w:b/>
        </w:rPr>
        <w:t xml:space="preserve">economic </w:t>
      </w:r>
      <w:r w:rsidR="00E827E6" w:rsidRPr="00333326">
        <w:rPr>
          <w:b/>
        </w:rPr>
        <w:t>critical mass</w:t>
      </w:r>
      <w:r w:rsidR="00E827E6" w:rsidRPr="00EF65ED">
        <w:t xml:space="preserve"> within the Royal Docks, and to do this in a way which is disti</w:t>
      </w:r>
      <w:r w:rsidR="00302762">
        <w:t>nct</w:t>
      </w:r>
      <w:r w:rsidR="00E827E6" w:rsidRPr="00EF65ED">
        <w:t xml:space="preserve"> in London.</w:t>
      </w:r>
      <w:r w:rsidR="000021CA" w:rsidRPr="00EF65ED">
        <w:t xml:space="preserve"> </w:t>
      </w:r>
    </w:p>
    <w:p w14:paraId="7BBED879" w14:textId="6FC65CCB" w:rsidR="007C7CBC" w:rsidRDefault="00144E97" w:rsidP="000021CA">
      <w:pPr>
        <w:pStyle w:val="RDParagraph"/>
      </w:pPr>
      <w:r w:rsidRPr="00EF65ED">
        <w:t xml:space="preserve">In securing critical mass, </w:t>
      </w:r>
      <w:r w:rsidR="009F41F8">
        <w:t>it</w:t>
      </w:r>
      <w:r w:rsidR="00A403AB" w:rsidRPr="00EF65ED">
        <w:t xml:space="preserve"> </w:t>
      </w:r>
      <w:r w:rsidR="00FD61AD">
        <w:t>emphas</w:t>
      </w:r>
      <w:r w:rsidR="000F2A86">
        <w:t>ises the importance of</w:t>
      </w:r>
      <w:r w:rsidR="00A403AB" w:rsidRPr="00EF65ED">
        <w:t xml:space="preserve"> </w:t>
      </w:r>
      <w:r w:rsidR="00153B2F" w:rsidRPr="00333326">
        <w:rPr>
          <w:b/>
        </w:rPr>
        <w:t>social</w:t>
      </w:r>
      <w:r w:rsidR="00766DD8">
        <w:rPr>
          <w:b/>
        </w:rPr>
        <w:t xml:space="preserve"> and environmental</w:t>
      </w:r>
      <w:r w:rsidR="00153B2F" w:rsidRPr="00333326">
        <w:rPr>
          <w:b/>
        </w:rPr>
        <w:t xml:space="preserve"> outcomes</w:t>
      </w:r>
      <w:r w:rsidR="00204E5D">
        <w:t>.</w:t>
      </w:r>
      <w:r w:rsidR="00153B2F" w:rsidRPr="00EF65ED">
        <w:t xml:space="preserve"> </w:t>
      </w:r>
      <w:r w:rsidR="00204E5D">
        <w:t>This recognises</w:t>
      </w:r>
      <w:r w:rsidR="00153B2F" w:rsidRPr="00EF65ED">
        <w:t xml:space="preserve"> </w:t>
      </w:r>
      <w:r w:rsidR="0025150A">
        <w:t>not only</w:t>
      </w:r>
      <w:r w:rsidRPr="00EF65ED">
        <w:t xml:space="preserve"> the explicit need</w:t>
      </w:r>
      <w:r w:rsidR="00A403AB" w:rsidRPr="00EF65ED">
        <w:t>s of</w:t>
      </w:r>
      <w:r w:rsidRPr="00EF65ED">
        <w:t xml:space="preserve"> </w:t>
      </w:r>
      <w:r w:rsidR="00B625E7" w:rsidRPr="00EF65ED">
        <w:t xml:space="preserve">local </w:t>
      </w:r>
      <w:r w:rsidR="003A223E" w:rsidRPr="00EF65ED">
        <w:t>community</w:t>
      </w:r>
      <w:r w:rsidR="00B625E7" w:rsidRPr="00EF65ED">
        <w:t xml:space="preserve">, and London as whole, but also </w:t>
      </w:r>
      <w:r w:rsidR="006F40F8">
        <w:t xml:space="preserve">market demand, with </w:t>
      </w:r>
      <w:r w:rsidR="00B625E7" w:rsidRPr="00EF65ED">
        <w:t>increasing invest</w:t>
      </w:r>
      <w:r w:rsidR="00506091" w:rsidRPr="00EF65ED">
        <w:t>or</w:t>
      </w:r>
      <w:r w:rsidR="00B625E7" w:rsidRPr="00EF65ED">
        <w:t xml:space="preserve"> focus </w:t>
      </w:r>
      <w:r w:rsidR="00A403AB" w:rsidRPr="00EF65ED">
        <w:t xml:space="preserve">and </w:t>
      </w:r>
      <w:r w:rsidR="003A223E">
        <w:t>appetite</w:t>
      </w:r>
      <w:r w:rsidR="00A403AB" w:rsidRPr="00EF65ED">
        <w:t xml:space="preserve"> for</w:t>
      </w:r>
      <w:r w:rsidR="00B625E7" w:rsidRPr="00EF65ED">
        <w:t xml:space="preserve"> </w:t>
      </w:r>
      <w:r w:rsidR="00506091" w:rsidRPr="00EF65ED">
        <w:t xml:space="preserve">more ‘responsible’ and ‘meaningful’ </w:t>
      </w:r>
      <w:r w:rsidR="00A403AB" w:rsidRPr="00EF65ED">
        <w:t xml:space="preserve">forms of investment. </w:t>
      </w:r>
      <w:r w:rsidR="00FB5C05">
        <w:t xml:space="preserve">Newham Council’s </w:t>
      </w:r>
      <w:r w:rsidR="00F46E9D">
        <w:t xml:space="preserve">borough-wide </w:t>
      </w:r>
      <w:r w:rsidR="00FB5C05">
        <w:t xml:space="preserve">community wealth building objectives </w:t>
      </w:r>
      <w:r w:rsidR="00F46E9D">
        <w:t xml:space="preserve">and separate </w:t>
      </w:r>
      <w:r w:rsidR="003E6BC1">
        <w:t>commit</w:t>
      </w:r>
      <w:r w:rsidR="00F46E9D">
        <w:t>ment t</w:t>
      </w:r>
      <w:r w:rsidR="003E6BC1">
        <w:t xml:space="preserve">o </w:t>
      </w:r>
      <w:r w:rsidR="00D96486">
        <w:t>promote the Royal Docks as a ‘beacon’ of the green economy in London</w:t>
      </w:r>
      <w:r w:rsidR="00EC58B8">
        <w:t xml:space="preserve"> </w:t>
      </w:r>
      <w:r w:rsidR="00870BB0">
        <w:t>(</w:t>
      </w:r>
      <w:r w:rsidR="00EC58B8">
        <w:t>as part of its response to the climate emergency</w:t>
      </w:r>
      <w:r w:rsidR="00870BB0">
        <w:t>)</w:t>
      </w:r>
      <w:r w:rsidR="00F46E9D">
        <w:t>, underpin this part of the Economic Purpose</w:t>
      </w:r>
      <w:r w:rsidR="00D96486">
        <w:t>.</w:t>
      </w:r>
      <w:r w:rsidR="00484821">
        <w:t xml:space="preserve"> </w:t>
      </w:r>
    </w:p>
    <w:p w14:paraId="4BDB8769" w14:textId="5B85E2B9" w:rsidR="003B5B2A" w:rsidRDefault="00A403AB" w:rsidP="000021CA">
      <w:pPr>
        <w:pStyle w:val="RDParagraph"/>
        <w:rPr>
          <w:iCs/>
        </w:rPr>
      </w:pPr>
      <w:r w:rsidRPr="00EF65ED">
        <w:t xml:space="preserve">Finally, </w:t>
      </w:r>
      <w:r w:rsidR="007C1545">
        <w:t>its aims to</w:t>
      </w:r>
      <w:r w:rsidR="00D92A6D" w:rsidRPr="00EF65ED">
        <w:t xml:space="preserve"> </w:t>
      </w:r>
      <w:r w:rsidR="00F64B4A" w:rsidRPr="00EF65ED">
        <w:t xml:space="preserve">support and </w:t>
      </w:r>
      <w:r w:rsidR="00F64B4A" w:rsidRPr="00333326">
        <w:rPr>
          <w:b/>
        </w:rPr>
        <w:t>enhanc</w:t>
      </w:r>
      <w:r w:rsidR="007C1545">
        <w:rPr>
          <w:b/>
        </w:rPr>
        <w:t>e</w:t>
      </w:r>
      <w:r w:rsidR="00F64B4A" w:rsidRPr="00333326">
        <w:rPr>
          <w:b/>
        </w:rPr>
        <w:t xml:space="preserve"> the Royal Dock’s and Newham’s</w:t>
      </w:r>
      <w:r w:rsidR="00F05366">
        <w:rPr>
          <w:b/>
        </w:rPr>
        <w:t xml:space="preserve"> links with the world</w:t>
      </w:r>
      <w:r w:rsidR="00F64B4A" w:rsidRPr="00EF65ED">
        <w:t xml:space="preserve">. </w:t>
      </w:r>
      <w:r w:rsidR="00EF65ED" w:rsidRPr="00EF65ED">
        <w:rPr>
          <w:iCs/>
        </w:rPr>
        <w:t xml:space="preserve">The </w:t>
      </w:r>
      <w:r w:rsidR="00EF65ED" w:rsidRPr="003B5B2A">
        <w:rPr>
          <w:iCs/>
        </w:rPr>
        <w:t>Royal Docks is a naturally international</w:t>
      </w:r>
      <w:r w:rsidR="00EF65ED" w:rsidRPr="00EF65ED">
        <w:rPr>
          <w:iCs/>
        </w:rPr>
        <w:t xml:space="preserve"> </w:t>
      </w:r>
      <w:r w:rsidR="00EF65ED" w:rsidRPr="003B5B2A">
        <w:rPr>
          <w:iCs/>
        </w:rPr>
        <w:t>place</w:t>
      </w:r>
      <w:r w:rsidR="000C37F1">
        <w:rPr>
          <w:iCs/>
        </w:rPr>
        <w:t>,</w:t>
      </w:r>
      <w:r w:rsidR="00EF65ED" w:rsidRPr="003B5B2A">
        <w:rPr>
          <w:iCs/>
        </w:rPr>
        <w:t xml:space="preserve"> in a borough with </w:t>
      </w:r>
      <w:r w:rsidR="007C4D2B">
        <w:rPr>
          <w:iCs/>
        </w:rPr>
        <w:t>London’s</w:t>
      </w:r>
      <w:r w:rsidR="00EF65ED" w:rsidRPr="003B5B2A">
        <w:rPr>
          <w:iCs/>
        </w:rPr>
        <w:t xml:space="preserve"> most international population.</w:t>
      </w:r>
      <w:r w:rsidR="00EF65ED" w:rsidRPr="00EF65ED">
        <w:rPr>
          <w:iCs/>
        </w:rPr>
        <w:t xml:space="preserve"> </w:t>
      </w:r>
      <w:r w:rsidR="003B5B2A" w:rsidRPr="003B5B2A">
        <w:rPr>
          <w:iCs/>
        </w:rPr>
        <w:t>Post Brexit, London will need to be more international, cementing its position as a (or the) global city</w:t>
      </w:r>
      <w:r w:rsidR="00EF65ED" w:rsidRPr="00EF65ED">
        <w:rPr>
          <w:iCs/>
        </w:rPr>
        <w:t xml:space="preserve">, and the Royal Docks should be at the forefront of this. </w:t>
      </w:r>
    </w:p>
    <w:p w14:paraId="39BFE10E" w14:textId="6795B606" w:rsidR="006828BC" w:rsidRDefault="001C0FA4" w:rsidP="00D85459">
      <w:pPr>
        <w:pStyle w:val="RDParagraph"/>
      </w:pPr>
      <w:r>
        <w:t>A</w:t>
      </w:r>
      <w:r w:rsidR="00F81AA7">
        <w:t xml:space="preserve"> number of specific economic roles have been identified for the Royal Docks:</w:t>
      </w:r>
    </w:p>
    <w:p w14:paraId="672D1EA9" w14:textId="0E920D69" w:rsidR="000F3386" w:rsidRPr="00356B7F" w:rsidRDefault="00B206DE" w:rsidP="00356B7F">
      <w:pPr>
        <w:pStyle w:val="RDnumber"/>
        <w:rPr>
          <w:b w:val="0"/>
          <w:color w:val="052D3F" w:themeColor="accent1"/>
          <w:szCs w:val="22"/>
          <w:lang w:val="en-US"/>
        </w:rPr>
      </w:pPr>
      <w:r>
        <w:rPr>
          <w:color w:val="052D3F" w:themeColor="accent1"/>
          <w:szCs w:val="22"/>
        </w:rPr>
        <w:t>A g</w:t>
      </w:r>
      <w:r w:rsidR="0014545B" w:rsidRPr="00356B7F">
        <w:rPr>
          <w:color w:val="052D3F" w:themeColor="accent1"/>
          <w:szCs w:val="22"/>
        </w:rPr>
        <w:t>lobal enterprise and innovation district</w:t>
      </w:r>
      <w:r w:rsidR="006805C8" w:rsidRPr="00356B7F">
        <w:rPr>
          <w:color w:val="052D3F" w:themeColor="accent1"/>
          <w:szCs w:val="22"/>
        </w:rPr>
        <w:t>:</w:t>
      </w:r>
      <w:r w:rsidR="006805C8" w:rsidRPr="00356B7F">
        <w:rPr>
          <w:b w:val="0"/>
          <w:color w:val="052D3F" w:themeColor="accent1"/>
          <w:szCs w:val="22"/>
        </w:rPr>
        <w:t xml:space="preserve"> </w:t>
      </w:r>
      <w:r w:rsidR="0014545B" w:rsidRPr="00356B7F">
        <w:rPr>
          <w:b w:val="0"/>
          <w:color w:val="052D3F" w:themeColor="accent1"/>
          <w:szCs w:val="22"/>
        </w:rPr>
        <w:t xml:space="preserve"> </w:t>
      </w:r>
      <w:r w:rsidR="00623D5A">
        <w:rPr>
          <w:b w:val="0"/>
          <w:color w:val="052D3F" w:themeColor="accent1"/>
          <w:szCs w:val="22"/>
        </w:rPr>
        <w:t xml:space="preserve">in looking to secure critical mass, </w:t>
      </w:r>
      <w:r w:rsidR="0037208E" w:rsidRPr="00356B7F">
        <w:rPr>
          <w:b w:val="0"/>
          <w:color w:val="052D3F" w:themeColor="accent1"/>
          <w:szCs w:val="22"/>
        </w:rPr>
        <w:t>the Royal Docks should position itself as a global enterprise and innovation district, building on</w:t>
      </w:r>
      <w:r w:rsidR="00B27902">
        <w:rPr>
          <w:b w:val="0"/>
          <w:color w:val="052D3F" w:themeColor="accent1"/>
          <w:szCs w:val="22"/>
        </w:rPr>
        <w:t xml:space="preserve">: </w:t>
      </w:r>
      <w:r w:rsidR="00B12342">
        <w:rPr>
          <w:b w:val="0"/>
          <w:color w:val="052D3F" w:themeColor="accent1"/>
          <w:szCs w:val="22"/>
        </w:rPr>
        <w:t>it’s</w:t>
      </w:r>
      <w:r w:rsidR="0037208E" w:rsidRPr="00356B7F">
        <w:rPr>
          <w:b w:val="0"/>
          <w:color w:val="052D3F" w:themeColor="accent1"/>
          <w:szCs w:val="22"/>
        </w:rPr>
        <w:t xml:space="preserve"> existing i</w:t>
      </w:r>
      <w:r w:rsidR="000F3386" w:rsidRPr="00356B7F">
        <w:rPr>
          <w:b w:val="0"/>
          <w:color w:val="052D3F" w:themeColor="accent1"/>
          <w:szCs w:val="22"/>
        </w:rPr>
        <w:t xml:space="preserve">nternational </w:t>
      </w:r>
      <w:r w:rsidR="0037208E" w:rsidRPr="00356B7F">
        <w:rPr>
          <w:b w:val="0"/>
          <w:color w:val="052D3F" w:themeColor="accent1"/>
          <w:szCs w:val="22"/>
        </w:rPr>
        <w:t>connections (</w:t>
      </w:r>
      <w:r w:rsidR="00260E4E">
        <w:rPr>
          <w:b w:val="0"/>
          <w:color w:val="052D3F" w:themeColor="accent1"/>
          <w:szCs w:val="22"/>
        </w:rPr>
        <w:t xml:space="preserve">via </w:t>
      </w:r>
      <w:r w:rsidR="0037208E" w:rsidRPr="00356B7F">
        <w:rPr>
          <w:b w:val="0"/>
          <w:color w:val="052D3F" w:themeColor="accent1"/>
          <w:szCs w:val="22"/>
        </w:rPr>
        <w:t xml:space="preserve">transport, businesses and </w:t>
      </w:r>
      <w:r w:rsidR="00260E4E">
        <w:rPr>
          <w:b w:val="0"/>
          <w:color w:val="052D3F" w:themeColor="accent1"/>
          <w:szCs w:val="22"/>
        </w:rPr>
        <w:t xml:space="preserve">the </w:t>
      </w:r>
      <w:r w:rsidR="0037208E" w:rsidRPr="00356B7F">
        <w:rPr>
          <w:b w:val="0"/>
          <w:color w:val="052D3F" w:themeColor="accent1"/>
          <w:szCs w:val="22"/>
        </w:rPr>
        <w:t>population), its access to knowledge (</w:t>
      </w:r>
      <w:r w:rsidR="00356B7F">
        <w:rPr>
          <w:b w:val="0"/>
          <w:color w:val="052D3F" w:themeColor="accent1"/>
          <w:szCs w:val="22"/>
        </w:rPr>
        <w:t>both</w:t>
      </w:r>
      <w:r w:rsidR="0037208E" w:rsidRPr="00356B7F">
        <w:rPr>
          <w:b w:val="0"/>
          <w:color w:val="052D3F" w:themeColor="accent1"/>
          <w:szCs w:val="22"/>
        </w:rPr>
        <w:t xml:space="preserve"> locally via UEL</w:t>
      </w:r>
      <w:r w:rsidR="00356B7F">
        <w:rPr>
          <w:b w:val="0"/>
          <w:color w:val="052D3F" w:themeColor="accent1"/>
          <w:szCs w:val="22"/>
        </w:rPr>
        <w:t xml:space="preserve"> and more broadly across London</w:t>
      </w:r>
      <w:r w:rsidR="0037208E" w:rsidRPr="00356B7F">
        <w:rPr>
          <w:b w:val="0"/>
          <w:color w:val="052D3F" w:themeColor="accent1"/>
          <w:szCs w:val="22"/>
        </w:rPr>
        <w:t xml:space="preserve">), </w:t>
      </w:r>
      <w:r w:rsidR="00356B7F" w:rsidRPr="00356B7F">
        <w:rPr>
          <w:b w:val="0"/>
          <w:color w:val="052D3F" w:themeColor="accent1"/>
          <w:szCs w:val="22"/>
        </w:rPr>
        <w:t xml:space="preserve">demand generated </w:t>
      </w:r>
      <w:r w:rsidR="00957A66">
        <w:rPr>
          <w:b w:val="0"/>
          <w:color w:val="052D3F" w:themeColor="accent1"/>
          <w:szCs w:val="22"/>
        </w:rPr>
        <w:t xml:space="preserve">by </w:t>
      </w:r>
      <w:r w:rsidR="00356B7F" w:rsidRPr="00356B7F">
        <w:rPr>
          <w:b w:val="0"/>
          <w:color w:val="052D3F" w:themeColor="accent1"/>
          <w:szCs w:val="22"/>
        </w:rPr>
        <w:t xml:space="preserve">the </w:t>
      </w:r>
      <w:r w:rsidR="000F3386" w:rsidRPr="00356B7F">
        <w:rPr>
          <w:b w:val="0"/>
          <w:color w:val="052D3F" w:themeColor="accent1"/>
          <w:szCs w:val="22"/>
        </w:rPr>
        <w:t>eastward movement of London’s creative and innovation economy</w:t>
      </w:r>
      <w:r w:rsidR="00EF12CD">
        <w:rPr>
          <w:b w:val="0"/>
          <w:color w:val="052D3F" w:themeColor="accent1"/>
          <w:szCs w:val="22"/>
        </w:rPr>
        <w:t xml:space="preserve"> </w:t>
      </w:r>
      <w:r w:rsidR="00957A66">
        <w:rPr>
          <w:b w:val="0"/>
          <w:color w:val="052D3F" w:themeColor="accent1"/>
          <w:szCs w:val="22"/>
        </w:rPr>
        <w:t xml:space="preserve">and </w:t>
      </w:r>
      <w:r w:rsidR="00EF12CD">
        <w:rPr>
          <w:b w:val="0"/>
          <w:color w:val="052D3F" w:themeColor="accent1"/>
          <w:szCs w:val="22"/>
        </w:rPr>
        <w:t xml:space="preserve">by </w:t>
      </w:r>
      <w:r w:rsidR="00356B7F" w:rsidRPr="00356B7F">
        <w:rPr>
          <w:b w:val="0"/>
          <w:color w:val="052D3F" w:themeColor="accent1"/>
          <w:szCs w:val="22"/>
        </w:rPr>
        <w:t>foreign owned enterprises</w:t>
      </w:r>
      <w:r w:rsidR="000F3386" w:rsidRPr="00356B7F">
        <w:rPr>
          <w:b w:val="0"/>
          <w:color w:val="052D3F" w:themeColor="accent1"/>
          <w:szCs w:val="22"/>
        </w:rPr>
        <w:t xml:space="preserve"> </w:t>
      </w:r>
      <w:r w:rsidR="00957A66">
        <w:rPr>
          <w:b w:val="0"/>
          <w:color w:val="052D3F" w:themeColor="accent1"/>
          <w:szCs w:val="22"/>
        </w:rPr>
        <w:t xml:space="preserve">looking </w:t>
      </w:r>
      <w:r w:rsidR="000F3386" w:rsidRPr="00356B7F">
        <w:rPr>
          <w:b w:val="0"/>
          <w:color w:val="052D3F" w:themeColor="accent1"/>
          <w:szCs w:val="22"/>
        </w:rPr>
        <w:t>to locate in London</w:t>
      </w:r>
      <w:r w:rsidR="00EF12CD">
        <w:rPr>
          <w:b w:val="0"/>
          <w:color w:val="052D3F" w:themeColor="accent1"/>
          <w:szCs w:val="22"/>
        </w:rPr>
        <w:t xml:space="preserve">, and </w:t>
      </w:r>
      <w:r w:rsidR="00A456E9">
        <w:rPr>
          <w:b w:val="0"/>
          <w:color w:val="052D3F" w:themeColor="accent1"/>
          <w:szCs w:val="22"/>
        </w:rPr>
        <w:t xml:space="preserve">Newham’s commitment to </w:t>
      </w:r>
      <w:r w:rsidR="00B27902">
        <w:rPr>
          <w:b w:val="0"/>
          <w:color w:val="052D3F" w:themeColor="accent1"/>
          <w:szCs w:val="22"/>
        </w:rPr>
        <w:t xml:space="preserve">exploring new approaches to respond to environmental and social </w:t>
      </w:r>
      <w:r w:rsidR="00BB2FAA">
        <w:rPr>
          <w:b w:val="0"/>
          <w:color w:val="052D3F" w:themeColor="accent1"/>
          <w:szCs w:val="22"/>
        </w:rPr>
        <w:t>challenges</w:t>
      </w:r>
      <w:r w:rsidR="00B27902">
        <w:rPr>
          <w:b w:val="0"/>
          <w:color w:val="052D3F" w:themeColor="accent1"/>
          <w:szCs w:val="22"/>
        </w:rPr>
        <w:t>.</w:t>
      </w:r>
    </w:p>
    <w:p w14:paraId="13F986E8" w14:textId="7677F124" w:rsidR="00A80C6A" w:rsidRPr="00B56169" w:rsidRDefault="000F3386" w:rsidP="003003EB">
      <w:pPr>
        <w:pStyle w:val="RDnumber"/>
        <w:rPr>
          <w:b w:val="0"/>
          <w:color w:val="052D3F" w:themeColor="accent1"/>
          <w:szCs w:val="22"/>
          <w:lang w:val="en-US"/>
        </w:rPr>
      </w:pPr>
      <w:r w:rsidRPr="00B56169">
        <w:rPr>
          <w:color w:val="052D3F" w:themeColor="accent1"/>
          <w:szCs w:val="22"/>
        </w:rPr>
        <w:t xml:space="preserve">London’s home for </w:t>
      </w:r>
      <w:r w:rsidR="003458E5" w:rsidRPr="00B56169">
        <w:rPr>
          <w:color w:val="052D3F" w:themeColor="accent1"/>
          <w:szCs w:val="22"/>
        </w:rPr>
        <w:t>social and environmentally minded companies</w:t>
      </w:r>
      <w:r w:rsidR="00922BEC" w:rsidRPr="00B56169">
        <w:rPr>
          <w:color w:val="052D3F" w:themeColor="accent1"/>
          <w:szCs w:val="22"/>
        </w:rPr>
        <w:t xml:space="preserve">: </w:t>
      </w:r>
      <w:r w:rsidR="003458E5" w:rsidRPr="00B56169">
        <w:rPr>
          <w:b w:val="0"/>
          <w:color w:val="052D3F" w:themeColor="accent1"/>
          <w:szCs w:val="22"/>
        </w:rPr>
        <w:t xml:space="preserve"> </w:t>
      </w:r>
      <w:r w:rsidR="003C0311" w:rsidRPr="00B56169">
        <w:rPr>
          <w:b w:val="0"/>
          <w:color w:val="052D3F" w:themeColor="accent1"/>
          <w:szCs w:val="22"/>
        </w:rPr>
        <w:t>the growth and evolution of the</w:t>
      </w:r>
      <w:r w:rsidR="000575F3" w:rsidRPr="00B56169">
        <w:rPr>
          <w:b w:val="0"/>
          <w:color w:val="052D3F" w:themeColor="accent1"/>
          <w:szCs w:val="22"/>
        </w:rPr>
        <w:t xml:space="preserve"> Royal Docks</w:t>
      </w:r>
      <w:r w:rsidR="003C0311" w:rsidRPr="00B56169">
        <w:rPr>
          <w:b w:val="0"/>
          <w:color w:val="052D3F" w:themeColor="accent1"/>
          <w:szCs w:val="22"/>
        </w:rPr>
        <w:t xml:space="preserve"> economy </w:t>
      </w:r>
      <w:r w:rsidR="00A80C6A" w:rsidRPr="00B56169">
        <w:rPr>
          <w:b w:val="0"/>
          <w:color w:val="052D3F" w:themeColor="accent1"/>
          <w:szCs w:val="22"/>
        </w:rPr>
        <w:t>must be positioned</w:t>
      </w:r>
      <w:r w:rsidR="003C0311" w:rsidRPr="00B56169">
        <w:rPr>
          <w:b w:val="0"/>
          <w:color w:val="052D3F" w:themeColor="accent1"/>
          <w:szCs w:val="22"/>
        </w:rPr>
        <w:t xml:space="preserve"> in the context of wider social and environmental </w:t>
      </w:r>
      <w:r w:rsidR="000729A8">
        <w:rPr>
          <w:b w:val="0"/>
          <w:color w:val="052D3F" w:themeColor="accent1"/>
          <w:szCs w:val="22"/>
        </w:rPr>
        <w:t>outcomes</w:t>
      </w:r>
      <w:r w:rsidR="000B3307" w:rsidRPr="00B56169">
        <w:rPr>
          <w:b w:val="0"/>
          <w:color w:val="052D3F" w:themeColor="accent1"/>
          <w:szCs w:val="22"/>
        </w:rPr>
        <w:t xml:space="preserve">: recognising the focus of both the Mayor of Newham and </w:t>
      </w:r>
      <w:r w:rsidR="006C17B5" w:rsidRPr="00B56169">
        <w:rPr>
          <w:b w:val="0"/>
          <w:color w:val="052D3F" w:themeColor="accent1"/>
          <w:szCs w:val="22"/>
        </w:rPr>
        <w:t xml:space="preserve">the Mayor of London on the climate emergency and </w:t>
      </w:r>
      <w:r w:rsidR="007F6F70">
        <w:rPr>
          <w:b w:val="0"/>
          <w:color w:val="052D3F" w:themeColor="accent1"/>
          <w:szCs w:val="22"/>
        </w:rPr>
        <w:t xml:space="preserve">in </w:t>
      </w:r>
      <w:r w:rsidR="00460414" w:rsidRPr="00B56169">
        <w:rPr>
          <w:b w:val="0"/>
          <w:color w:val="052D3F" w:themeColor="accent1"/>
          <w:szCs w:val="22"/>
        </w:rPr>
        <w:t xml:space="preserve">supporting </w:t>
      </w:r>
      <w:r w:rsidR="00E57851" w:rsidRPr="00B56169">
        <w:rPr>
          <w:b w:val="0"/>
          <w:color w:val="052D3F" w:themeColor="accent1"/>
          <w:szCs w:val="22"/>
        </w:rPr>
        <w:t>greater equality and fairness with</w:t>
      </w:r>
      <w:r w:rsidR="007F6F70">
        <w:rPr>
          <w:b w:val="0"/>
          <w:color w:val="052D3F" w:themeColor="accent1"/>
          <w:szCs w:val="22"/>
        </w:rPr>
        <w:t>in</w:t>
      </w:r>
      <w:r w:rsidR="00E57851" w:rsidRPr="00B56169">
        <w:rPr>
          <w:b w:val="0"/>
          <w:color w:val="052D3F" w:themeColor="accent1"/>
          <w:szCs w:val="22"/>
        </w:rPr>
        <w:t xml:space="preserve"> </w:t>
      </w:r>
      <w:r w:rsidR="00460414" w:rsidRPr="00B56169">
        <w:rPr>
          <w:b w:val="0"/>
          <w:color w:val="052D3F" w:themeColor="accent1"/>
          <w:szCs w:val="22"/>
        </w:rPr>
        <w:t xml:space="preserve">communities. </w:t>
      </w:r>
      <w:r w:rsidR="00E57851" w:rsidRPr="00B56169">
        <w:rPr>
          <w:b w:val="0"/>
          <w:color w:val="052D3F" w:themeColor="accent1"/>
          <w:szCs w:val="22"/>
        </w:rPr>
        <w:t xml:space="preserve"> In recognition of this,</w:t>
      </w:r>
      <w:r w:rsidR="00B56169">
        <w:rPr>
          <w:b w:val="0"/>
          <w:color w:val="052D3F" w:themeColor="accent1"/>
          <w:szCs w:val="22"/>
        </w:rPr>
        <w:t xml:space="preserve"> </w:t>
      </w:r>
      <w:r w:rsidR="00E57851" w:rsidRPr="00B56169">
        <w:rPr>
          <w:b w:val="0"/>
          <w:color w:val="052D3F" w:themeColor="accent1"/>
          <w:szCs w:val="22"/>
        </w:rPr>
        <w:t xml:space="preserve">and increasing </w:t>
      </w:r>
      <w:r w:rsidR="00B56169" w:rsidRPr="00B56169">
        <w:rPr>
          <w:b w:val="0"/>
          <w:color w:val="052D3F" w:themeColor="accent1"/>
          <w:szCs w:val="22"/>
        </w:rPr>
        <w:t xml:space="preserve">investor </w:t>
      </w:r>
      <w:r w:rsidR="00E57851" w:rsidRPr="00B56169">
        <w:rPr>
          <w:b w:val="0"/>
          <w:color w:val="052D3F" w:themeColor="accent1"/>
          <w:szCs w:val="22"/>
        </w:rPr>
        <w:t>appreciation of and demand for wider impacts beyond commercial and economic</w:t>
      </w:r>
      <w:r w:rsidR="00B56169" w:rsidRPr="00B56169">
        <w:rPr>
          <w:b w:val="0"/>
          <w:color w:val="052D3F" w:themeColor="accent1"/>
          <w:szCs w:val="22"/>
        </w:rPr>
        <w:t xml:space="preserve">, the </w:t>
      </w:r>
      <w:r w:rsidR="00657C6C" w:rsidRPr="00B56169">
        <w:rPr>
          <w:b w:val="0"/>
          <w:color w:val="052D3F" w:themeColor="accent1"/>
          <w:szCs w:val="22"/>
        </w:rPr>
        <w:t xml:space="preserve">Royal Dock’s should </w:t>
      </w:r>
      <w:r w:rsidR="00B56169" w:rsidRPr="00B56169">
        <w:rPr>
          <w:b w:val="0"/>
          <w:color w:val="052D3F" w:themeColor="accent1"/>
          <w:szCs w:val="22"/>
        </w:rPr>
        <w:t xml:space="preserve">establish a clear ethos and position </w:t>
      </w:r>
      <w:r w:rsidR="00657C6C" w:rsidRPr="00B56169">
        <w:rPr>
          <w:b w:val="0"/>
          <w:color w:val="052D3F" w:themeColor="accent1"/>
          <w:szCs w:val="22"/>
        </w:rPr>
        <w:t>as London’s home for socially and environmentally minded companies</w:t>
      </w:r>
      <w:r w:rsidR="00B56169" w:rsidRPr="00B56169">
        <w:rPr>
          <w:b w:val="0"/>
          <w:color w:val="052D3F" w:themeColor="accent1"/>
          <w:szCs w:val="22"/>
        </w:rPr>
        <w:t>.</w:t>
      </w:r>
    </w:p>
    <w:p w14:paraId="2128ED31" w14:textId="1F604BEC" w:rsidR="00592DD8" w:rsidRDefault="001C36A7" w:rsidP="0083449C">
      <w:pPr>
        <w:pStyle w:val="RDnumber"/>
        <w:rPr>
          <w:b w:val="0"/>
          <w:color w:val="052D3F" w:themeColor="accent1"/>
          <w:szCs w:val="22"/>
          <w:lang w:val="en-US"/>
        </w:rPr>
      </w:pPr>
      <w:r w:rsidRPr="001D068E">
        <w:rPr>
          <w:color w:val="052D3F" w:themeColor="accent1"/>
          <w:szCs w:val="22"/>
        </w:rPr>
        <w:t xml:space="preserve">A culture </w:t>
      </w:r>
      <w:r w:rsidR="00A85957">
        <w:rPr>
          <w:color w:val="052D3F" w:themeColor="accent1"/>
          <w:szCs w:val="22"/>
        </w:rPr>
        <w:t>and</w:t>
      </w:r>
      <w:r w:rsidRPr="001D068E">
        <w:rPr>
          <w:color w:val="052D3F" w:themeColor="accent1"/>
          <w:szCs w:val="22"/>
        </w:rPr>
        <w:t xml:space="preserve"> leisure hub for London</w:t>
      </w:r>
      <w:r w:rsidR="00634A67" w:rsidRPr="001D068E">
        <w:rPr>
          <w:b w:val="0"/>
          <w:color w:val="052D3F" w:themeColor="accent1"/>
          <w:szCs w:val="22"/>
        </w:rPr>
        <w:t xml:space="preserve">: </w:t>
      </w:r>
      <w:r w:rsidR="00694CE7" w:rsidRPr="001D068E">
        <w:rPr>
          <w:b w:val="0"/>
          <w:color w:val="052D3F" w:themeColor="accent1"/>
          <w:szCs w:val="22"/>
        </w:rPr>
        <w:t>located at th</w:t>
      </w:r>
      <w:r w:rsidR="00966968" w:rsidRPr="001D068E">
        <w:rPr>
          <w:b w:val="0"/>
          <w:color w:val="052D3F" w:themeColor="accent1"/>
          <w:szCs w:val="22"/>
        </w:rPr>
        <w:t xml:space="preserve">e heart of London’s fastest growing </w:t>
      </w:r>
      <w:r w:rsidR="001D068E" w:rsidRPr="001D068E">
        <w:rPr>
          <w:b w:val="0"/>
          <w:color w:val="052D3F" w:themeColor="accent1"/>
          <w:szCs w:val="22"/>
        </w:rPr>
        <w:t>sub</w:t>
      </w:r>
      <w:r w:rsidR="001D068E" w:rsidRPr="001D068E">
        <w:rPr>
          <w:b w:val="0"/>
          <w:color w:val="052D3F" w:themeColor="accent1"/>
          <w:szCs w:val="22"/>
          <w:lang w:val="en-US"/>
        </w:rPr>
        <w:t xml:space="preserve">-region for culture, and at the gateway to the Thames Estuary Production Corridor, the </w:t>
      </w:r>
      <w:r w:rsidR="00634A67" w:rsidRPr="001D068E">
        <w:rPr>
          <w:b w:val="0"/>
          <w:color w:val="052D3F" w:themeColor="accent1"/>
          <w:szCs w:val="22"/>
        </w:rPr>
        <w:t>Royal Docks has a</w:t>
      </w:r>
      <w:r w:rsidR="007E58A5">
        <w:rPr>
          <w:b w:val="0"/>
          <w:color w:val="052D3F" w:themeColor="accent1"/>
          <w:szCs w:val="22"/>
        </w:rPr>
        <w:t xml:space="preserve"> </w:t>
      </w:r>
      <w:r w:rsidR="00634A67" w:rsidRPr="001D068E">
        <w:rPr>
          <w:b w:val="0"/>
          <w:color w:val="052D3F" w:themeColor="accent1"/>
          <w:szCs w:val="22"/>
        </w:rPr>
        <w:t>role to p</w:t>
      </w:r>
      <w:r w:rsidR="00694CE7" w:rsidRPr="001D068E">
        <w:rPr>
          <w:b w:val="0"/>
          <w:color w:val="052D3F" w:themeColor="accent1"/>
          <w:szCs w:val="22"/>
        </w:rPr>
        <w:t xml:space="preserve">lay as a </w:t>
      </w:r>
      <w:r w:rsidR="000A481D">
        <w:rPr>
          <w:b w:val="0"/>
          <w:color w:val="052D3F" w:themeColor="accent1"/>
          <w:szCs w:val="22"/>
        </w:rPr>
        <w:t>visitor destination</w:t>
      </w:r>
      <w:r w:rsidR="000423E9">
        <w:rPr>
          <w:b w:val="0"/>
          <w:color w:val="052D3F" w:themeColor="accent1"/>
          <w:szCs w:val="22"/>
        </w:rPr>
        <w:t xml:space="preserve"> for the city</w:t>
      </w:r>
      <w:r w:rsidR="001D068E">
        <w:rPr>
          <w:b w:val="0"/>
          <w:color w:val="052D3F" w:themeColor="accent1"/>
          <w:szCs w:val="22"/>
        </w:rPr>
        <w:t xml:space="preserve">. </w:t>
      </w:r>
      <w:r w:rsidR="0083449C">
        <w:rPr>
          <w:b w:val="0"/>
          <w:color w:val="052D3F" w:themeColor="accent1"/>
          <w:szCs w:val="22"/>
        </w:rPr>
        <w:t xml:space="preserve">Culture </w:t>
      </w:r>
      <w:r w:rsidR="00E01EBF">
        <w:rPr>
          <w:b w:val="0"/>
          <w:color w:val="052D3F" w:themeColor="accent1"/>
          <w:szCs w:val="22"/>
        </w:rPr>
        <w:t xml:space="preserve">and leisure </w:t>
      </w:r>
      <w:r w:rsidR="0083449C">
        <w:rPr>
          <w:b w:val="0"/>
          <w:color w:val="052D3F" w:themeColor="accent1"/>
          <w:szCs w:val="22"/>
        </w:rPr>
        <w:t>ha</w:t>
      </w:r>
      <w:r w:rsidR="00E01EBF">
        <w:rPr>
          <w:b w:val="0"/>
          <w:color w:val="052D3F" w:themeColor="accent1"/>
          <w:szCs w:val="22"/>
        </w:rPr>
        <w:t>ve</w:t>
      </w:r>
      <w:r w:rsidR="0083449C">
        <w:rPr>
          <w:b w:val="0"/>
          <w:color w:val="052D3F" w:themeColor="accent1"/>
          <w:szCs w:val="22"/>
        </w:rPr>
        <w:t xml:space="preserve"> an </w:t>
      </w:r>
      <w:r w:rsidR="000A42B5">
        <w:rPr>
          <w:b w:val="0"/>
          <w:color w:val="052D3F" w:themeColor="accent1"/>
          <w:szCs w:val="22"/>
        </w:rPr>
        <w:t>important</w:t>
      </w:r>
      <w:r w:rsidR="0083449C">
        <w:rPr>
          <w:b w:val="0"/>
          <w:color w:val="052D3F" w:themeColor="accent1"/>
          <w:szCs w:val="22"/>
        </w:rPr>
        <w:t xml:space="preserve"> role to play in </w:t>
      </w:r>
      <w:r w:rsidR="00B206DE">
        <w:rPr>
          <w:b w:val="0"/>
          <w:color w:val="052D3F" w:themeColor="accent1"/>
          <w:szCs w:val="22"/>
        </w:rPr>
        <w:t xml:space="preserve">‘placemaking’ and in </w:t>
      </w:r>
      <w:r w:rsidR="0083449C">
        <w:rPr>
          <w:b w:val="0"/>
          <w:color w:val="052D3F" w:themeColor="accent1"/>
          <w:szCs w:val="22"/>
        </w:rPr>
        <w:t xml:space="preserve">supporting </w:t>
      </w:r>
      <w:r w:rsidR="00B206DE">
        <w:rPr>
          <w:b w:val="0"/>
          <w:color w:val="052D3F" w:themeColor="accent1"/>
          <w:szCs w:val="22"/>
        </w:rPr>
        <w:t>inclusive</w:t>
      </w:r>
      <w:r w:rsidR="00592DD8">
        <w:rPr>
          <w:b w:val="0"/>
          <w:color w:val="052D3F" w:themeColor="accent1"/>
          <w:szCs w:val="22"/>
        </w:rPr>
        <w:t>, productive and</w:t>
      </w:r>
      <w:r w:rsidR="00E01EBF">
        <w:rPr>
          <w:b w:val="0"/>
          <w:color w:val="052D3F" w:themeColor="accent1"/>
          <w:szCs w:val="22"/>
        </w:rPr>
        <w:t xml:space="preserve"> </w:t>
      </w:r>
      <w:r w:rsidR="00592DD8">
        <w:rPr>
          <w:b w:val="0"/>
          <w:color w:val="052D3F" w:themeColor="accent1"/>
          <w:szCs w:val="22"/>
        </w:rPr>
        <w:t>sustain</w:t>
      </w:r>
      <w:r w:rsidR="00E01EBF">
        <w:rPr>
          <w:b w:val="0"/>
          <w:color w:val="052D3F" w:themeColor="accent1"/>
          <w:szCs w:val="22"/>
        </w:rPr>
        <w:t>able growth</w:t>
      </w:r>
      <w:r w:rsidR="00B206DE">
        <w:rPr>
          <w:b w:val="0"/>
          <w:color w:val="052D3F" w:themeColor="accent1"/>
          <w:szCs w:val="22"/>
        </w:rPr>
        <w:t xml:space="preserve">. </w:t>
      </w:r>
      <w:r w:rsidR="009836D9">
        <w:rPr>
          <w:b w:val="0"/>
          <w:color w:val="052D3F" w:themeColor="accent1"/>
          <w:szCs w:val="22"/>
        </w:rPr>
        <w:t xml:space="preserve">With the water </w:t>
      </w:r>
      <w:r w:rsidR="00392957">
        <w:rPr>
          <w:b w:val="0"/>
          <w:color w:val="052D3F" w:themeColor="accent1"/>
          <w:szCs w:val="22"/>
        </w:rPr>
        <w:t>and</w:t>
      </w:r>
      <w:r w:rsidR="001420CF">
        <w:rPr>
          <w:b w:val="0"/>
          <w:color w:val="052D3F" w:themeColor="accent1"/>
          <w:szCs w:val="22"/>
        </w:rPr>
        <w:t xml:space="preserve"> sense of</w:t>
      </w:r>
      <w:r w:rsidR="00392957">
        <w:rPr>
          <w:b w:val="0"/>
          <w:color w:val="052D3F" w:themeColor="accent1"/>
          <w:szCs w:val="22"/>
        </w:rPr>
        <w:t xml:space="preserve"> </w:t>
      </w:r>
      <w:r w:rsidR="00D80CFE">
        <w:rPr>
          <w:b w:val="0"/>
          <w:color w:val="052D3F" w:themeColor="accent1"/>
          <w:szCs w:val="22"/>
        </w:rPr>
        <w:t>‘</w:t>
      </w:r>
      <w:r w:rsidR="00392957">
        <w:rPr>
          <w:b w:val="0"/>
          <w:color w:val="052D3F" w:themeColor="accent1"/>
          <w:szCs w:val="22"/>
        </w:rPr>
        <w:t>openness</w:t>
      </w:r>
      <w:r w:rsidR="00D80CFE">
        <w:rPr>
          <w:b w:val="0"/>
          <w:color w:val="052D3F" w:themeColor="accent1"/>
          <w:szCs w:val="22"/>
        </w:rPr>
        <w:t>’</w:t>
      </w:r>
      <w:r w:rsidR="00392957">
        <w:rPr>
          <w:b w:val="0"/>
          <w:color w:val="052D3F" w:themeColor="accent1"/>
          <w:szCs w:val="22"/>
        </w:rPr>
        <w:t xml:space="preserve"> providing</w:t>
      </w:r>
      <w:r w:rsidR="00B206DE">
        <w:rPr>
          <w:b w:val="0"/>
          <w:color w:val="052D3F" w:themeColor="accent1"/>
          <w:szCs w:val="22"/>
        </w:rPr>
        <w:t xml:space="preserve"> one of </w:t>
      </w:r>
      <w:r w:rsidR="00C21F87">
        <w:rPr>
          <w:b w:val="0"/>
          <w:color w:val="052D3F" w:themeColor="accent1"/>
          <w:szCs w:val="22"/>
        </w:rPr>
        <w:t xml:space="preserve">London’s most distinct </w:t>
      </w:r>
      <w:r w:rsidR="00E432DB">
        <w:rPr>
          <w:b w:val="0"/>
          <w:color w:val="052D3F" w:themeColor="accent1"/>
          <w:szCs w:val="22"/>
        </w:rPr>
        <w:t>environments</w:t>
      </w:r>
      <w:r w:rsidR="00B206DE">
        <w:rPr>
          <w:b w:val="0"/>
          <w:color w:val="052D3F" w:themeColor="accent1"/>
          <w:szCs w:val="22"/>
        </w:rPr>
        <w:t xml:space="preserve">, the </w:t>
      </w:r>
      <w:r w:rsidR="00CF3778">
        <w:rPr>
          <w:b w:val="0"/>
          <w:color w:val="052D3F" w:themeColor="accent1"/>
          <w:szCs w:val="22"/>
        </w:rPr>
        <w:t xml:space="preserve">Royal </w:t>
      </w:r>
      <w:r w:rsidR="00B206DE">
        <w:rPr>
          <w:b w:val="0"/>
          <w:color w:val="052D3F" w:themeColor="accent1"/>
          <w:szCs w:val="22"/>
        </w:rPr>
        <w:t>Dock’s offers unique potential in this regard.</w:t>
      </w:r>
    </w:p>
    <w:p w14:paraId="0BD50D5C" w14:textId="47FADB8E" w:rsidR="000C37F1" w:rsidRDefault="00B206DE" w:rsidP="003003EB">
      <w:pPr>
        <w:pStyle w:val="RDnumber"/>
        <w:rPr>
          <w:rFonts w:eastAsia="Yu Gothic UI"/>
          <w:b w:val="0"/>
          <w:color w:val="052D3F" w:themeColor="accent1"/>
          <w:szCs w:val="22"/>
        </w:rPr>
      </w:pPr>
      <w:r w:rsidRPr="00BB4C3C">
        <w:rPr>
          <w:rFonts w:eastAsia="Yu Gothic UI"/>
          <w:color w:val="052D3F" w:themeColor="accent1"/>
          <w:szCs w:val="22"/>
        </w:rPr>
        <w:t>An e</w:t>
      </w:r>
      <w:r w:rsidR="00850A2F" w:rsidRPr="00850A2F">
        <w:rPr>
          <w:rFonts w:eastAsia="Yu Gothic UI"/>
          <w:color w:val="052D3F" w:themeColor="accent1"/>
          <w:szCs w:val="22"/>
        </w:rPr>
        <w:t>conomic &amp; social resource for Newham &amp; East London’s residents</w:t>
      </w:r>
      <w:r w:rsidR="00EC74F1">
        <w:rPr>
          <w:rFonts w:eastAsia="Yu Gothic UI"/>
          <w:color w:val="052D3F" w:themeColor="accent1"/>
          <w:szCs w:val="22"/>
        </w:rPr>
        <w:t>:</w:t>
      </w:r>
      <w:r w:rsidR="00850A2F" w:rsidRPr="00BB4C3C">
        <w:rPr>
          <w:rFonts w:eastAsia="Yu Gothic UI"/>
          <w:b w:val="0"/>
          <w:color w:val="052D3F" w:themeColor="accent1"/>
          <w:szCs w:val="22"/>
        </w:rPr>
        <w:t xml:space="preserve"> </w:t>
      </w:r>
      <w:r w:rsidR="00B46FCD" w:rsidRPr="00BB4C3C">
        <w:rPr>
          <w:rFonts w:eastAsia="Yu Gothic UI"/>
          <w:b w:val="0"/>
          <w:color w:val="052D3F" w:themeColor="accent1"/>
          <w:szCs w:val="22"/>
        </w:rPr>
        <w:t xml:space="preserve">The Royal Dock’s has long been an </w:t>
      </w:r>
      <w:r w:rsidR="00EC74F1">
        <w:rPr>
          <w:rFonts w:eastAsia="Yu Gothic UI"/>
          <w:b w:val="0"/>
          <w:color w:val="052D3F" w:themeColor="accent1"/>
          <w:szCs w:val="22"/>
        </w:rPr>
        <w:t>important</w:t>
      </w:r>
      <w:r w:rsidR="00B46FCD" w:rsidRPr="00BB4C3C">
        <w:rPr>
          <w:rFonts w:eastAsia="Yu Gothic UI"/>
          <w:b w:val="0"/>
          <w:color w:val="052D3F" w:themeColor="accent1"/>
          <w:szCs w:val="22"/>
        </w:rPr>
        <w:t xml:space="preserve"> resource for local communities, with a history of </w:t>
      </w:r>
      <w:r w:rsidR="00B46FCD" w:rsidRPr="00BB4C3C">
        <w:rPr>
          <w:rFonts w:eastAsia="Yu Gothic UI"/>
          <w:b w:val="0"/>
          <w:color w:val="052D3F" w:themeColor="accent1"/>
          <w:szCs w:val="22"/>
        </w:rPr>
        <w:lastRenderedPageBreak/>
        <w:t xml:space="preserve">industry and employment. It is </w:t>
      </w:r>
      <w:r w:rsidR="00D54322">
        <w:rPr>
          <w:rFonts w:eastAsia="Yu Gothic UI"/>
          <w:b w:val="0"/>
          <w:color w:val="052D3F" w:themeColor="accent1"/>
          <w:szCs w:val="22"/>
        </w:rPr>
        <w:t>crucial</w:t>
      </w:r>
      <w:r w:rsidR="00B46FCD" w:rsidRPr="00BB4C3C">
        <w:rPr>
          <w:rFonts w:eastAsia="Yu Gothic UI"/>
          <w:b w:val="0"/>
          <w:color w:val="052D3F" w:themeColor="accent1"/>
          <w:szCs w:val="22"/>
        </w:rPr>
        <w:t xml:space="preserve"> that </w:t>
      </w:r>
      <w:r w:rsidR="00C25B84" w:rsidRPr="00BB4C3C">
        <w:rPr>
          <w:rFonts w:eastAsia="Yu Gothic UI"/>
          <w:b w:val="0"/>
          <w:color w:val="052D3F" w:themeColor="accent1"/>
          <w:szCs w:val="22"/>
        </w:rPr>
        <w:t xml:space="preserve">this </w:t>
      </w:r>
      <w:r w:rsidR="003139C9" w:rsidRPr="00BB4C3C">
        <w:rPr>
          <w:rFonts w:eastAsia="Yu Gothic UI"/>
          <w:b w:val="0"/>
          <w:color w:val="052D3F" w:themeColor="accent1"/>
          <w:szCs w:val="22"/>
        </w:rPr>
        <w:t xml:space="preserve">role </w:t>
      </w:r>
      <w:r w:rsidR="00E86019" w:rsidRPr="00BB4C3C">
        <w:rPr>
          <w:rFonts w:eastAsia="Yu Gothic UI"/>
          <w:b w:val="0"/>
          <w:color w:val="052D3F" w:themeColor="accent1"/>
          <w:szCs w:val="22"/>
        </w:rPr>
        <w:t>is protected and enhanced</w:t>
      </w:r>
      <w:r w:rsidR="009D7624">
        <w:rPr>
          <w:rFonts w:eastAsia="Yu Gothic UI"/>
          <w:b w:val="0"/>
          <w:color w:val="052D3F" w:themeColor="accent1"/>
          <w:szCs w:val="22"/>
        </w:rPr>
        <w:t xml:space="preserve"> </w:t>
      </w:r>
      <w:r w:rsidR="007B1041">
        <w:rPr>
          <w:rFonts w:eastAsia="Yu Gothic UI"/>
          <w:b w:val="0"/>
          <w:color w:val="052D3F" w:themeColor="accent1"/>
          <w:szCs w:val="22"/>
        </w:rPr>
        <w:t>and that</w:t>
      </w:r>
      <w:r w:rsidR="00C25B84" w:rsidRPr="00BB4C3C">
        <w:rPr>
          <w:rFonts w:eastAsia="Yu Gothic UI"/>
          <w:b w:val="0"/>
          <w:color w:val="052D3F" w:themeColor="accent1"/>
          <w:szCs w:val="22"/>
        </w:rPr>
        <w:t xml:space="preserve"> </w:t>
      </w:r>
      <w:r w:rsidR="00E86019" w:rsidRPr="00BB4C3C">
        <w:rPr>
          <w:rFonts w:eastAsia="Yu Gothic UI"/>
          <w:b w:val="0"/>
          <w:color w:val="052D3F" w:themeColor="accent1"/>
          <w:szCs w:val="22"/>
        </w:rPr>
        <w:t>local residents and businesses deriv</w:t>
      </w:r>
      <w:r w:rsidR="007B1041">
        <w:rPr>
          <w:rFonts w:eastAsia="Yu Gothic UI"/>
          <w:b w:val="0"/>
          <w:color w:val="052D3F" w:themeColor="accent1"/>
          <w:szCs w:val="22"/>
        </w:rPr>
        <w:t>e</w:t>
      </w:r>
      <w:r w:rsidR="00E86019" w:rsidRPr="00BB4C3C">
        <w:rPr>
          <w:rFonts w:eastAsia="Yu Gothic UI"/>
          <w:b w:val="0"/>
          <w:color w:val="052D3F" w:themeColor="accent1"/>
          <w:szCs w:val="22"/>
        </w:rPr>
        <w:t xml:space="preserve"> clear </w:t>
      </w:r>
      <w:r w:rsidR="00C25B84" w:rsidRPr="00BB4C3C">
        <w:rPr>
          <w:rFonts w:eastAsia="Yu Gothic UI"/>
          <w:b w:val="0"/>
          <w:color w:val="052D3F" w:themeColor="accent1"/>
          <w:szCs w:val="22"/>
        </w:rPr>
        <w:t xml:space="preserve">and lasting </w:t>
      </w:r>
      <w:r w:rsidR="005368E3" w:rsidRPr="00BB4C3C">
        <w:rPr>
          <w:rFonts w:eastAsia="Yu Gothic UI"/>
          <w:b w:val="0"/>
          <w:color w:val="052D3F" w:themeColor="accent1"/>
          <w:szCs w:val="22"/>
        </w:rPr>
        <w:t xml:space="preserve">social and economic benefit as </w:t>
      </w:r>
      <w:r w:rsidR="00C25B84" w:rsidRPr="00BB4C3C">
        <w:rPr>
          <w:rFonts w:eastAsia="Yu Gothic UI"/>
          <w:b w:val="0"/>
          <w:color w:val="052D3F" w:themeColor="accent1"/>
          <w:szCs w:val="22"/>
        </w:rPr>
        <w:t>delivery progresses</w:t>
      </w:r>
      <w:r w:rsidR="00AA2EB6">
        <w:rPr>
          <w:rFonts w:eastAsia="Yu Gothic UI"/>
          <w:b w:val="0"/>
          <w:color w:val="052D3F" w:themeColor="accent1"/>
          <w:szCs w:val="22"/>
        </w:rPr>
        <w:t>.</w:t>
      </w:r>
      <w:r w:rsidR="004077C6" w:rsidRPr="00BB4C3C">
        <w:rPr>
          <w:rFonts w:eastAsia="Yu Gothic UI"/>
          <w:b w:val="0"/>
          <w:color w:val="052D3F" w:themeColor="accent1"/>
          <w:szCs w:val="22"/>
        </w:rPr>
        <w:t xml:space="preserve"> </w:t>
      </w:r>
      <w:r w:rsidR="00406EEE">
        <w:rPr>
          <w:rFonts w:eastAsia="Yu Gothic UI"/>
          <w:b w:val="0"/>
          <w:color w:val="052D3F" w:themeColor="accent1"/>
          <w:szCs w:val="22"/>
        </w:rPr>
        <w:t xml:space="preserve">This means </w:t>
      </w:r>
      <w:r w:rsidR="007C611C">
        <w:rPr>
          <w:rFonts w:eastAsia="Yu Gothic UI"/>
          <w:b w:val="0"/>
          <w:color w:val="052D3F" w:themeColor="accent1"/>
          <w:szCs w:val="22"/>
        </w:rPr>
        <w:t xml:space="preserve">providing residents with access to </w:t>
      </w:r>
      <w:r w:rsidR="004E0581">
        <w:rPr>
          <w:rFonts w:eastAsia="Yu Gothic UI"/>
          <w:b w:val="0"/>
          <w:color w:val="052D3F" w:themeColor="accent1"/>
          <w:szCs w:val="22"/>
        </w:rPr>
        <w:t xml:space="preserve">high quality </w:t>
      </w:r>
      <w:r w:rsidR="007C611C">
        <w:rPr>
          <w:rFonts w:eastAsia="Yu Gothic UI"/>
          <w:b w:val="0"/>
          <w:color w:val="052D3F" w:themeColor="accent1"/>
          <w:szCs w:val="22"/>
        </w:rPr>
        <w:t>local services and amenities</w:t>
      </w:r>
      <w:r w:rsidR="001C6F75">
        <w:rPr>
          <w:rFonts w:eastAsia="Yu Gothic UI"/>
          <w:b w:val="0"/>
          <w:color w:val="052D3F" w:themeColor="accent1"/>
          <w:szCs w:val="22"/>
        </w:rPr>
        <w:t xml:space="preserve">, and helping </w:t>
      </w:r>
      <w:r w:rsidR="005675F2">
        <w:rPr>
          <w:rFonts w:eastAsia="Yu Gothic UI"/>
          <w:b w:val="0"/>
          <w:color w:val="052D3F" w:themeColor="accent1"/>
          <w:szCs w:val="22"/>
        </w:rPr>
        <w:t xml:space="preserve">local </w:t>
      </w:r>
      <w:r w:rsidR="001C6F75">
        <w:rPr>
          <w:rFonts w:eastAsia="Yu Gothic UI"/>
          <w:b w:val="0"/>
          <w:color w:val="052D3F" w:themeColor="accent1"/>
          <w:szCs w:val="22"/>
        </w:rPr>
        <w:t xml:space="preserve">residents and businesses to </w:t>
      </w:r>
      <w:r w:rsidR="00C36949">
        <w:rPr>
          <w:rFonts w:eastAsia="Yu Gothic UI"/>
          <w:b w:val="0"/>
          <w:color w:val="052D3F" w:themeColor="accent1"/>
          <w:szCs w:val="22"/>
        </w:rPr>
        <w:t xml:space="preserve">access </w:t>
      </w:r>
      <w:r w:rsidR="002051C0">
        <w:rPr>
          <w:rFonts w:eastAsia="Yu Gothic UI"/>
          <w:b w:val="0"/>
          <w:color w:val="052D3F" w:themeColor="accent1"/>
          <w:szCs w:val="22"/>
        </w:rPr>
        <w:t xml:space="preserve">economic opportunities within the area (be it jobs or </w:t>
      </w:r>
      <w:r w:rsidR="00130BDB">
        <w:rPr>
          <w:rFonts w:eastAsia="Yu Gothic UI"/>
          <w:b w:val="0"/>
          <w:color w:val="052D3F" w:themeColor="accent1"/>
          <w:szCs w:val="22"/>
        </w:rPr>
        <w:t xml:space="preserve">workspace). </w:t>
      </w:r>
    </w:p>
    <w:p w14:paraId="4C7DDF1F" w14:textId="48321657" w:rsidR="009F6DF0" w:rsidRDefault="009F6DF0" w:rsidP="003003EB">
      <w:pPr>
        <w:pStyle w:val="RDnumber"/>
        <w:rPr>
          <w:rFonts w:eastAsia="Yu Gothic UI"/>
          <w:b w:val="0"/>
          <w:color w:val="052D3F" w:themeColor="accent1"/>
          <w:szCs w:val="22"/>
        </w:rPr>
        <w:sectPr w:rsidR="009F6DF0" w:rsidSect="000F1ECD">
          <w:pgSz w:w="11906" w:h="16838" w:code="9"/>
          <w:pgMar w:top="1417" w:right="1247" w:bottom="1587" w:left="1247" w:header="680" w:footer="340" w:gutter="0"/>
          <w:pgNumType w:start="1"/>
          <w:cols w:space="708"/>
          <w:docGrid w:linePitch="360"/>
        </w:sectPr>
      </w:pPr>
    </w:p>
    <w:p w14:paraId="7B9AB5EF" w14:textId="7A14C462" w:rsidR="00F65DFC" w:rsidRPr="00F65DFC" w:rsidRDefault="00F51FB7" w:rsidP="00F51FB7">
      <w:pPr>
        <w:pStyle w:val="RDParagraph"/>
        <w:ind w:left="0"/>
      </w:pPr>
      <w:r>
        <w:lastRenderedPageBreak/>
        <w:t xml:space="preserve">Covering over 130 hectares, the Royal Docks is a large spatial area which comprises a number of distinct neighbourhoods and hubs of activity. </w:t>
      </w:r>
      <w:r w:rsidR="00FA3139">
        <w:t>While providing overarching parameters for future growth and change across the Royal Docks</w:t>
      </w:r>
      <w:r>
        <w:t xml:space="preserve"> as a whole</w:t>
      </w:r>
      <w:r w:rsidR="00FA3139">
        <w:t xml:space="preserve">, the Economic Purpose </w:t>
      </w:r>
      <w:r>
        <w:t xml:space="preserve">recognises the importance of ‘localising’ delivery. Action </w:t>
      </w:r>
      <w:r w:rsidR="00FA3139">
        <w:t xml:space="preserve">and investment </w:t>
      </w:r>
      <w:r>
        <w:t xml:space="preserve">must </w:t>
      </w:r>
      <w:r w:rsidR="00FA3139">
        <w:t>recognis</w:t>
      </w:r>
      <w:r>
        <w:t>e</w:t>
      </w:r>
      <w:r w:rsidR="00FA3139">
        <w:t xml:space="preserve"> and enhance local distinctiveness, tailoring </w:t>
      </w:r>
      <w:r>
        <w:t>the response</w:t>
      </w:r>
      <w:r w:rsidR="00FA3139">
        <w:t xml:space="preserve"> to local contexts and opportunities. </w:t>
      </w:r>
      <w:r>
        <w:t>The spatial response is explored in detail in Chapter 5.</w:t>
      </w:r>
    </w:p>
    <w:p w14:paraId="0C62CEBA" w14:textId="270C0A33" w:rsidR="000C37F1" w:rsidRPr="0062755C" w:rsidRDefault="000C37F1" w:rsidP="000C37F1">
      <w:pPr>
        <w:spacing w:after="0"/>
        <w:rPr>
          <w:i/>
        </w:rPr>
      </w:pPr>
      <w:r w:rsidRPr="0062755C">
        <w:rPr>
          <w:rFonts w:ascii="Source Sans Pro" w:hAnsi="Source Sans Pro"/>
          <w:b/>
          <w:i/>
          <w:color w:val="052D3F"/>
          <w:sz w:val="20"/>
        </w:rPr>
        <w:t xml:space="preserve">Figure </w:t>
      </w:r>
      <w:r>
        <w:rPr>
          <w:rFonts w:ascii="Source Sans Pro" w:hAnsi="Source Sans Pro"/>
          <w:b/>
          <w:i/>
          <w:color w:val="052D3F"/>
          <w:sz w:val="20"/>
        </w:rPr>
        <w:t>1</w:t>
      </w:r>
      <w:r w:rsidRPr="0062755C">
        <w:rPr>
          <w:rFonts w:ascii="Source Sans Pro" w:hAnsi="Source Sans Pro"/>
          <w:b/>
          <w:i/>
          <w:color w:val="052D3F"/>
          <w:sz w:val="20"/>
        </w:rPr>
        <w:t>.1. Economic Geographies Across the Royal Docks</w:t>
      </w:r>
      <w:r>
        <w:rPr>
          <w:rFonts w:ascii="Source Sans Pro" w:hAnsi="Source Sans Pro"/>
          <w:b/>
          <w:i/>
          <w:color w:val="052D3F"/>
          <w:sz w:val="20"/>
        </w:rPr>
        <w:t xml:space="preserve"> </w:t>
      </w:r>
    </w:p>
    <w:tbl>
      <w:tblPr>
        <w:tblStyle w:val="LightList"/>
        <w:tblpPr w:leftFromText="180" w:rightFromText="180" w:vertAnchor="text" w:horzAnchor="margin" w:tblpXSpec="right" w:tblpY="122"/>
        <w:tblOverlap w:val="never"/>
        <w:tblW w:w="13794" w:type="dxa"/>
        <w:tblBorders>
          <w:top w:val="single" w:sz="12" w:space="0" w:color="CE7628"/>
          <w:left w:val="none" w:sz="0" w:space="0" w:color="auto"/>
          <w:bottom w:val="single" w:sz="12" w:space="0" w:color="CE7628"/>
          <w:right w:val="none" w:sz="0" w:space="0" w:color="auto"/>
          <w:insideH w:val="single" w:sz="12" w:space="0" w:color="CE7628"/>
        </w:tblBorders>
        <w:tblLayout w:type="fixed"/>
        <w:tblCellMar>
          <w:left w:w="0" w:type="dxa"/>
          <w:right w:w="0" w:type="dxa"/>
        </w:tblCellMar>
        <w:tblLook w:val="0600" w:firstRow="0" w:lastRow="0" w:firstColumn="0" w:lastColumn="0" w:noHBand="1" w:noVBand="1"/>
      </w:tblPr>
      <w:tblGrid>
        <w:gridCol w:w="13794"/>
      </w:tblGrid>
      <w:tr w:rsidR="000C37F1" w14:paraId="5CB4FE1E" w14:textId="77777777" w:rsidTr="00FA3139">
        <w:trPr>
          <w:trHeight w:val="413"/>
        </w:trPr>
        <w:tc>
          <w:tcPr>
            <w:tcW w:w="13794" w:type="dxa"/>
            <w:tcBorders>
              <w:top w:val="single" w:sz="4" w:space="0" w:color="052D3F"/>
              <w:bottom w:val="single" w:sz="4" w:space="0" w:color="052D3F"/>
            </w:tcBorders>
            <w:vAlign w:val="center"/>
          </w:tcPr>
          <w:p w14:paraId="45A16BE5" w14:textId="27980046" w:rsidR="000C37F1" w:rsidRPr="00F62D14" w:rsidRDefault="008018F1" w:rsidP="00FA3139">
            <w:pPr>
              <w:pStyle w:val="NormalFigures"/>
              <w:jc w:val="center"/>
              <w:rPr>
                <w:b/>
              </w:rPr>
            </w:pPr>
            <w:r>
              <w:rPr>
                <w:noProof/>
              </w:rPr>
              <w:drawing>
                <wp:anchor distT="0" distB="0" distL="114300" distR="114300" simplePos="0" relativeHeight="251658261" behindDoc="0" locked="0" layoutInCell="1" allowOverlap="1" wp14:anchorId="78F8AB0A" wp14:editId="1F691C16">
                  <wp:simplePos x="0" y="0"/>
                  <wp:positionH relativeFrom="column">
                    <wp:posOffset>49530</wp:posOffset>
                  </wp:positionH>
                  <wp:positionV relativeFrom="paragraph">
                    <wp:posOffset>27940</wp:posOffset>
                  </wp:positionV>
                  <wp:extent cx="2766695" cy="10591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66695" cy="1059180"/>
                          </a:xfrm>
                          <a:prstGeom prst="rect">
                            <a:avLst/>
                          </a:prstGeom>
                        </pic:spPr>
                      </pic:pic>
                    </a:graphicData>
                  </a:graphic>
                  <wp14:sizeRelH relativeFrom="page">
                    <wp14:pctWidth>0</wp14:pctWidth>
                  </wp14:sizeRelH>
                  <wp14:sizeRelV relativeFrom="page">
                    <wp14:pctHeight>0</wp14:pctHeight>
                  </wp14:sizeRelV>
                </wp:anchor>
              </w:drawing>
            </w:r>
            <w:r w:rsidR="000C37F1">
              <w:rPr>
                <w:noProof/>
              </w:rPr>
              <w:drawing>
                <wp:inline distT="0" distB="0" distL="0" distR="0" wp14:anchorId="6E9D908A" wp14:editId="587124C0">
                  <wp:extent cx="8705084" cy="467536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71" t="7805" b="1328"/>
                          <a:stretch/>
                        </pic:blipFill>
                        <pic:spPr bwMode="auto">
                          <a:xfrm>
                            <a:off x="0" y="0"/>
                            <a:ext cx="8768965" cy="47096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469331" w14:textId="77777777" w:rsidR="000C37F1" w:rsidRDefault="000C37F1" w:rsidP="00536B4E">
      <w:pPr>
        <w:pStyle w:val="RDTier2"/>
        <w:sectPr w:rsidR="000C37F1" w:rsidSect="008018F1">
          <w:footerReference w:type="default" r:id="rId19"/>
          <w:pgSz w:w="16838" w:h="11906" w:orient="landscape" w:code="9"/>
          <w:pgMar w:top="1247" w:right="1417" w:bottom="1247" w:left="1587" w:header="680" w:footer="340" w:gutter="0"/>
          <w:cols w:space="708"/>
          <w:docGrid w:linePitch="360"/>
        </w:sectPr>
      </w:pPr>
    </w:p>
    <w:p w14:paraId="384189AC" w14:textId="24E04B93" w:rsidR="00A160FB" w:rsidRDefault="00A160FB" w:rsidP="00A160FB">
      <w:pPr>
        <w:pStyle w:val="RDTier2"/>
      </w:pPr>
      <w:r w:rsidRPr="00042F6E">
        <w:lastRenderedPageBreak/>
        <w:t>Delivering the Newham Economic Strategy</w:t>
      </w:r>
    </w:p>
    <w:p w14:paraId="454B4C5F" w14:textId="77777777" w:rsidR="00A160FB" w:rsidRPr="00A160FB" w:rsidRDefault="00A160FB" w:rsidP="00A160FB">
      <w:pPr>
        <w:pStyle w:val="RDParagraph"/>
      </w:pPr>
      <w:r w:rsidRPr="00A160FB">
        <w:t xml:space="preserve">The Royal Docks has an integral role to play in supporting the delivery of the Newham Economic Strategy, which aims to deliver on the Mayor of Newham’s community wealth building objectives. </w:t>
      </w:r>
    </w:p>
    <w:p w14:paraId="74BDBDE3" w14:textId="77777777" w:rsidR="00A160FB" w:rsidRPr="00A160FB" w:rsidRDefault="00A160FB" w:rsidP="00A160FB">
      <w:pPr>
        <w:pStyle w:val="RDParagraph"/>
      </w:pPr>
      <w:r w:rsidRPr="00A160FB">
        <w:t>The strategy sets the objective for Newham to become recognised as “the most inclusive local authority area in the country, capitalising upon and retaining investment into the borough whilst giving local people more control over their economic future”.</w:t>
      </w:r>
    </w:p>
    <w:p w14:paraId="2E2AA474" w14:textId="4FB57C80" w:rsidR="00A160FB" w:rsidRDefault="00E77A91" w:rsidP="00A160FB">
      <w:pPr>
        <w:pStyle w:val="RDParagraph"/>
      </w:pPr>
      <w:r>
        <w:t>It</w:t>
      </w:r>
      <w:r w:rsidR="00A160FB" w:rsidRPr="00A160FB">
        <w:t xml:space="preserve"> aims to embed community wealth building and participatory principles across the public and private sector across Newham, in so doing defining ‘value’ and ‘impact’ in a way which better balances social and environment outcomes with economic and commercial. Implicit within this is a focus on inclusive economy over inclusive growth: prioritising bottom up approaches to increasing levels of inclusion and prosperity, and tailoring responses to respond to locally and thematically specific challenges.</w:t>
      </w:r>
    </w:p>
    <w:p w14:paraId="7ED6DACC" w14:textId="77777777" w:rsidR="00AD48B7" w:rsidRDefault="00AD48B7" w:rsidP="00AD48B7">
      <w:pPr>
        <w:pStyle w:val="RDTier2"/>
      </w:pPr>
      <w:r>
        <w:t>Adopting New Approaches to Delivery</w:t>
      </w:r>
    </w:p>
    <w:p w14:paraId="1394B973" w14:textId="77777777" w:rsidR="00AD48B7" w:rsidRDefault="00AD48B7" w:rsidP="00AD48B7">
      <w:pPr>
        <w:pStyle w:val="RDParagraph"/>
      </w:pPr>
      <w:r>
        <w:t>The scale of the opportunity, its longevity, and the presence of the Royal Docks Team to steer delivery provides a significant opportunity to innovate, test new approaches and take managed ‘risks’ within the Royal Docks.</w:t>
      </w:r>
    </w:p>
    <w:p w14:paraId="4B9B35A3" w14:textId="77777777" w:rsidR="00AD48B7" w:rsidRDefault="00AD48B7" w:rsidP="00AD48B7">
      <w:pPr>
        <w:pStyle w:val="RDParagraph"/>
      </w:pPr>
      <w:r>
        <w:t xml:space="preserve">Over the next two decades, the Royal Docks should become established a place where innovation is encouraged and as a place which provides learning for policy makers, practitioners, and communities across London and beyond. </w:t>
      </w:r>
    </w:p>
    <w:p w14:paraId="1C658549" w14:textId="77777777" w:rsidR="00AD48B7" w:rsidRDefault="00AD48B7" w:rsidP="00AD48B7">
      <w:pPr>
        <w:pStyle w:val="RDParagraph"/>
      </w:pPr>
      <w:r>
        <w:t xml:space="preserve">As a starting point, embedding environmental and socially focused principles at the heart of the Economic Purpose offers opportunities to test new approaches to development and models for regeneration. The concept of inclusive economy is central to this. </w:t>
      </w:r>
    </w:p>
    <w:p w14:paraId="6F1D4C7D" w14:textId="6882B5CA" w:rsidR="00AD48B7" w:rsidRPr="00A160FB" w:rsidRDefault="00AD48B7" w:rsidP="00A160FB">
      <w:pPr>
        <w:pStyle w:val="RDParagraph"/>
      </w:pPr>
      <w:r>
        <w:t xml:space="preserve">A commitment to robust evidence and insight will be integral to delivering against this objective: adopting a granular and longitudinal approach to understanding how the Royal Docks and its communities area changing and the role and impact of policy and delivery in influencing this. </w:t>
      </w:r>
    </w:p>
    <w:p w14:paraId="2948A193" w14:textId="77777777" w:rsidR="00A160FB" w:rsidRDefault="00A160FB" w:rsidP="003603EB">
      <w:pPr>
        <w:pStyle w:val="RDParagraph"/>
      </w:pPr>
    </w:p>
    <w:p w14:paraId="5B98BD81" w14:textId="5E5C0B81" w:rsidR="00EA7B8D" w:rsidRDefault="00EA7B8D" w:rsidP="003603EB">
      <w:pPr>
        <w:pStyle w:val="RDParagraph"/>
      </w:pPr>
    </w:p>
    <w:p w14:paraId="617B93A5" w14:textId="45E1B4A1" w:rsidR="00E96991" w:rsidRDefault="00E96991" w:rsidP="003603EB">
      <w:pPr>
        <w:pStyle w:val="RDParagraph"/>
      </w:pPr>
      <w:r>
        <w:t xml:space="preserve"> </w:t>
      </w:r>
    </w:p>
    <w:p w14:paraId="688F7080" w14:textId="24DA47D2" w:rsidR="00536B4E" w:rsidRDefault="00536B4E" w:rsidP="00536B4E">
      <w:pPr>
        <w:pStyle w:val="RDTier2"/>
      </w:pPr>
      <w:r>
        <w:t xml:space="preserve"> </w:t>
      </w:r>
    </w:p>
    <w:p w14:paraId="0BB31F59" w14:textId="292497A4" w:rsidR="00731F56" w:rsidRDefault="00731F56" w:rsidP="00731F56">
      <w:pPr>
        <w:pStyle w:val="Heading5"/>
      </w:pPr>
      <w:bookmarkStart w:id="7" w:name="_Toc20750204"/>
      <w:bookmarkStart w:id="8" w:name="_Toc20750258"/>
      <w:r>
        <w:br w:type="page"/>
      </w:r>
    </w:p>
    <w:p w14:paraId="42411D44" w14:textId="1DCE3AD1" w:rsidR="0009446A" w:rsidRPr="0004172B" w:rsidRDefault="0009446A" w:rsidP="001E2590">
      <w:pPr>
        <w:pStyle w:val="Heading1"/>
        <w:spacing w:after="120"/>
      </w:pPr>
      <w:bookmarkStart w:id="9" w:name="_Toc25937440"/>
      <w:r>
        <w:lastRenderedPageBreak/>
        <w:t>The Royal Docks Today</w:t>
      </w:r>
      <w:bookmarkEnd w:id="7"/>
      <w:bookmarkEnd w:id="8"/>
      <w:bookmarkEnd w:id="9"/>
    </w:p>
    <w:p w14:paraId="7285E9BE" w14:textId="3A4FB19A" w:rsidR="00F61727" w:rsidRDefault="006F4218" w:rsidP="001E2590">
      <w:pPr>
        <w:pStyle w:val="RDIntroText"/>
        <w:spacing w:before="120" w:after="120"/>
      </w:pPr>
      <w:r>
        <w:t>The presence of</w:t>
      </w:r>
      <w:r w:rsidR="00076002">
        <w:t xml:space="preserve"> </w:t>
      </w:r>
      <w:r w:rsidR="00E7260D">
        <w:t xml:space="preserve">‘city’ anchors such as City Airport, Excel and the University of </w:t>
      </w:r>
      <w:r w:rsidR="0005030D">
        <w:t>East London</w:t>
      </w:r>
      <w:r w:rsidR="00DA14BB">
        <w:t xml:space="preserve">, along with the </w:t>
      </w:r>
      <w:r w:rsidR="00433417">
        <w:t xml:space="preserve">wider </w:t>
      </w:r>
      <w:r w:rsidR="00DA14BB">
        <w:t xml:space="preserve">base of local </w:t>
      </w:r>
      <w:r w:rsidR="00A22977">
        <w:t>enterprise</w:t>
      </w:r>
      <w:r w:rsidR="00433417">
        <w:t xml:space="preserve"> and</w:t>
      </w:r>
      <w:r w:rsidR="00A22977">
        <w:t xml:space="preserve"> </w:t>
      </w:r>
      <w:r w:rsidR="00DA14BB">
        <w:t>talent,</w:t>
      </w:r>
      <w:r w:rsidR="0005030D">
        <w:t xml:space="preserve"> provide</w:t>
      </w:r>
      <w:r w:rsidR="00DA14BB">
        <w:t>s</w:t>
      </w:r>
      <w:r w:rsidR="0005030D">
        <w:t xml:space="preserve"> a strong foundation for growth</w:t>
      </w:r>
      <w:r w:rsidR="00745C09" w:rsidRPr="00745C09">
        <w:t xml:space="preserve"> </w:t>
      </w:r>
      <w:r w:rsidR="00745C09">
        <w:t>in the Royal Docks</w:t>
      </w:r>
      <w:r w:rsidR="00DA14BB">
        <w:t xml:space="preserve">. However, </w:t>
      </w:r>
      <w:r w:rsidR="00006D2E">
        <w:t xml:space="preserve">levels of critical mass in the economy are currently relatively low and </w:t>
      </w:r>
      <w:r w:rsidR="00B246D6">
        <w:t xml:space="preserve">action is needed to </w:t>
      </w:r>
      <w:r w:rsidR="00006D2E">
        <w:t xml:space="preserve">stimulate demand and to </w:t>
      </w:r>
      <w:r w:rsidR="00B246D6">
        <w:t xml:space="preserve">address deep rooted </w:t>
      </w:r>
      <w:r w:rsidR="0005030D">
        <w:t>social</w:t>
      </w:r>
      <w:r w:rsidR="00B246D6">
        <w:t xml:space="preserve"> </w:t>
      </w:r>
      <w:r w:rsidR="00745C09">
        <w:t xml:space="preserve">and community </w:t>
      </w:r>
      <w:r w:rsidR="006F2569">
        <w:t>challenges</w:t>
      </w:r>
      <w:r w:rsidR="006E286E">
        <w:t xml:space="preserve"> which are</w:t>
      </w:r>
      <w:r w:rsidR="006F2569">
        <w:t xml:space="preserve"> </w:t>
      </w:r>
      <w:r w:rsidR="00745C09">
        <w:t>acting as barriers to</w:t>
      </w:r>
      <w:r w:rsidR="006F2569">
        <w:t xml:space="preserve"> participation. </w:t>
      </w:r>
      <w:r w:rsidR="006E286E">
        <w:t xml:space="preserve"> </w:t>
      </w:r>
      <w:r w:rsidR="00CF51DE">
        <w:t xml:space="preserve"> </w:t>
      </w:r>
    </w:p>
    <w:p w14:paraId="07F4279A" w14:textId="77777777" w:rsidR="00FC5DB7" w:rsidRDefault="00690AD5" w:rsidP="00E40EF7">
      <w:pPr>
        <w:pStyle w:val="RDTier2"/>
      </w:pPr>
      <w:r>
        <w:t xml:space="preserve">Current </w:t>
      </w:r>
      <w:r w:rsidR="00851622">
        <w:t xml:space="preserve">Economic </w:t>
      </w:r>
      <w:r>
        <w:t>Role</w:t>
      </w:r>
      <w:r w:rsidR="007654DB">
        <w:t xml:space="preserve">: </w:t>
      </w:r>
      <w:r w:rsidR="00FC5DB7">
        <w:t>Global Connections</w:t>
      </w:r>
    </w:p>
    <w:p w14:paraId="3CC5A215" w14:textId="058D0734" w:rsidR="004B12A1" w:rsidRDefault="004B12A1" w:rsidP="004B12A1">
      <w:pPr>
        <w:pStyle w:val="RDParagraph"/>
      </w:pPr>
      <w:r>
        <w:t>For over a hundred year</w:t>
      </w:r>
      <w:r w:rsidR="007E2E4C">
        <w:t>s</w:t>
      </w:r>
      <w:r>
        <w:t xml:space="preserve">, the </w:t>
      </w:r>
      <w:r w:rsidR="003003EB">
        <w:t xml:space="preserve">Royal Docks </w:t>
      </w:r>
      <w:r>
        <w:t>has been an</w:t>
      </w:r>
      <w:r w:rsidR="003003EB">
        <w:t xml:space="preserve"> integral part of the London economy,</w:t>
      </w:r>
      <w:r>
        <w:t xml:space="preserve"> at the forefront of industry and </w:t>
      </w:r>
      <w:r w:rsidR="003003EB">
        <w:t xml:space="preserve">providing connections and a gateway to the rest of the world. </w:t>
      </w:r>
    </w:p>
    <w:p w14:paraId="6DEA5163" w14:textId="4B060829" w:rsidR="009372F7" w:rsidRPr="00DA00AD" w:rsidRDefault="008041F6" w:rsidP="00034DD2">
      <w:pPr>
        <w:pStyle w:val="KeyMessBullet1Land"/>
        <w:framePr w:w="4221" w:wrap="around" w:hAnchor="page" w:x="6160" w:y="326"/>
        <w:numPr>
          <w:ilvl w:val="0"/>
          <w:numId w:val="0"/>
        </w:numPr>
        <w:ind w:left="567" w:hanging="340"/>
        <w:rPr>
          <w:b/>
          <w:color w:val="FF5000" w:themeColor="accent6"/>
          <w:sz w:val="22"/>
          <w:lang w:val="en-US"/>
        </w:rPr>
      </w:pPr>
      <w:r w:rsidRPr="00DA00AD">
        <w:rPr>
          <w:b/>
          <w:color w:val="FF5000" w:themeColor="accent6"/>
          <w:sz w:val="22"/>
          <w:lang w:val="en-US"/>
        </w:rPr>
        <w:t>Current Position: At a Glance</w:t>
      </w:r>
    </w:p>
    <w:p w14:paraId="3420C7EC" w14:textId="77777777" w:rsidR="008041F6" w:rsidRPr="00DA00AD" w:rsidRDefault="008041F6" w:rsidP="00034DD2">
      <w:pPr>
        <w:pStyle w:val="RDBoxnumber"/>
        <w:framePr w:w="4221" w:wrap="around" w:vAnchor="text" w:x="6160" w:y="326"/>
        <w:rPr>
          <w:color w:val="FF5000" w:themeColor="accent6"/>
          <w:sz w:val="20"/>
          <w:lang w:val="en-US"/>
        </w:rPr>
      </w:pPr>
      <w:r w:rsidRPr="00DA00AD">
        <w:rPr>
          <w:color w:val="FF5000" w:themeColor="accent6"/>
          <w:sz w:val="20"/>
        </w:rPr>
        <w:t xml:space="preserve">34,000 jobs &amp; 2,500 businesses </w:t>
      </w:r>
    </w:p>
    <w:p w14:paraId="68A27097" w14:textId="39268F3E" w:rsidR="008041F6" w:rsidRPr="00DA00AD" w:rsidRDefault="008041F6" w:rsidP="00034DD2">
      <w:pPr>
        <w:pStyle w:val="RDBoxnumber"/>
        <w:framePr w:w="4221" w:wrap="around" w:vAnchor="text" w:x="6160" w:y="326"/>
        <w:rPr>
          <w:color w:val="FF5000" w:themeColor="accent6"/>
          <w:sz w:val="20"/>
          <w:lang w:val="en-US"/>
        </w:rPr>
      </w:pPr>
      <w:r w:rsidRPr="00DA00AD">
        <w:rPr>
          <w:color w:val="FF5000" w:themeColor="accent6"/>
          <w:sz w:val="20"/>
        </w:rPr>
        <w:t>Around 30% of Newham economy (jobs)</w:t>
      </w:r>
    </w:p>
    <w:p w14:paraId="4FF913EA" w14:textId="60BDA390" w:rsidR="000C4E23" w:rsidRPr="004B330E" w:rsidRDefault="0072630B" w:rsidP="00E62FFD">
      <w:pPr>
        <w:pStyle w:val="RDBoxnumber"/>
        <w:framePr w:w="4221" w:wrap="around" w:vAnchor="text" w:x="6160" w:y="326"/>
        <w:rPr>
          <w:color w:val="FF5000" w:themeColor="accent6"/>
          <w:sz w:val="20"/>
          <w:lang w:val="en-US"/>
        </w:rPr>
      </w:pPr>
      <w:r w:rsidRPr="00DA00AD">
        <w:rPr>
          <w:color w:val="FF5000" w:themeColor="accent6"/>
          <w:sz w:val="20"/>
        </w:rPr>
        <w:t>48% of Royal Dock</w:t>
      </w:r>
      <w:r w:rsidR="00935BC9" w:rsidRPr="00DA00AD">
        <w:rPr>
          <w:color w:val="FF5000" w:themeColor="accent6"/>
          <w:sz w:val="20"/>
        </w:rPr>
        <w:t>’</w:t>
      </w:r>
      <w:r w:rsidRPr="00DA00AD">
        <w:rPr>
          <w:color w:val="FF5000" w:themeColor="accent6"/>
          <w:sz w:val="20"/>
        </w:rPr>
        <w:t>s residents were born outside the UK (London 32%)</w:t>
      </w:r>
      <w:r w:rsidR="000C4E23" w:rsidRPr="00DA00AD">
        <w:rPr>
          <w:color w:val="FF5000" w:themeColor="accent6"/>
          <w:sz w:val="20"/>
        </w:rPr>
        <w:t>.</w:t>
      </w:r>
    </w:p>
    <w:p w14:paraId="467B3CB5" w14:textId="77777777" w:rsidR="004B330E" w:rsidRPr="00DA00AD" w:rsidRDefault="004B330E" w:rsidP="004B330E">
      <w:pPr>
        <w:pStyle w:val="RDBoxnumber"/>
        <w:framePr w:w="4221" w:wrap="around" w:vAnchor="text" w:x="6160" w:y="326"/>
        <w:rPr>
          <w:color w:val="FF5000" w:themeColor="accent6"/>
          <w:sz w:val="20"/>
          <w:lang w:val="en-US"/>
        </w:rPr>
      </w:pPr>
      <w:r w:rsidRPr="00DA00AD">
        <w:rPr>
          <w:color w:val="FF5000" w:themeColor="accent6"/>
          <w:sz w:val="20"/>
          <w:lang w:val="en-US"/>
        </w:rPr>
        <w:t>15 minutes and 45 minutes – future travel time from Custom House to the West End and Heathrow</w:t>
      </w:r>
    </w:p>
    <w:p w14:paraId="6638BE07" w14:textId="7B0DF4F8" w:rsidR="004B330E" w:rsidRPr="004B330E" w:rsidRDefault="00E4431B" w:rsidP="00E62FFD">
      <w:pPr>
        <w:pStyle w:val="RDBoxnumber"/>
        <w:framePr w:w="4221" w:wrap="around" w:vAnchor="text" w:x="6160" w:y="326"/>
        <w:rPr>
          <w:color w:val="FF5000" w:themeColor="accent6"/>
          <w:sz w:val="20"/>
          <w:lang w:val="en-US"/>
        </w:rPr>
      </w:pPr>
      <w:r w:rsidRPr="00E4431B">
        <w:rPr>
          <w:color w:val="FF5000" w:themeColor="accent6"/>
          <w:sz w:val="20"/>
        </w:rPr>
        <w:t>9 million - combined annual visitors through ExCel and City Airport alone</w:t>
      </w:r>
      <w:r w:rsidR="004B330E">
        <w:rPr>
          <w:color w:val="FF5000" w:themeColor="accent6"/>
          <w:sz w:val="20"/>
        </w:rPr>
        <w:t>.</w:t>
      </w:r>
    </w:p>
    <w:p w14:paraId="494F8D09" w14:textId="558C78F8" w:rsidR="004B12A1" w:rsidRDefault="003003EB" w:rsidP="004B12A1">
      <w:pPr>
        <w:pStyle w:val="RDParagraph"/>
      </w:pPr>
      <w:r>
        <w:t>The economic footprint of the Royal Docks</w:t>
      </w:r>
      <w:r w:rsidR="00D678CC">
        <w:rPr>
          <w:rStyle w:val="FootnoteReference"/>
        </w:rPr>
        <w:footnoteReference w:id="2"/>
      </w:r>
      <w:r>
        <w:t xml:space="preserve"> is now much smaller, but it continues to play an important role as a local employment hub accommodating over 3</w:t>
      </w:r>
      <w:r w:rsidR="00D678CC">
        <w:t>4</w:t>
      </w:r>
      <w:r>
        <w:t xml:space="preserve">,000 jobs across a range of types of businesses and activities. </w:t>
      </w:r>
    </w:p>
    <w:p w14:paraId="0772A5A8" w14:textId="4273B657" w:rsidR="001E2A11" w:rsidRDefault="001E2A11" w:rsidP="004B12A1">
      <w:pPr>
        <w:pStyle w:val="RDParagraph"/>
      </w:pPr>
      <w:r>
        <w:t xml:space="preserve">The </w:t>
      </w:r>
      <w:r w:rsidR="00DC088B">
        <w:t>current</w:t>
      </w:r>
      <w:r w:rsidR="00397666">
        <w:t xml:space="preserve"> economic</w:t>
      </w:r>
      <w:r w:rsidR="00DC088B">
        <w:t xml:space="preserve"> character and function of the </w:t>
      </w:r>
      <w:r>
        <w:t xml:space="preserve">Royal Docks </w:t>
      </w:r>
      <w:r w:rsidR="00420EF7">
        <w:t>remains</w:t>
      </w:r>
      <w:r w:rsidR="00DC088B">
        <w:t xml:space="preserve"> heavily influenced by its connections with London and the world. </w:t>
      </w:r>
    </w:p>
    <w:p w14:paraId="2417BD4D" w14:textId="18F44432" w:rsidR="00DC088B" w:rsidRDefault="00DC088B" w:rsidP="004B12A1">
      <w:pPr>
        <w:pStyle w:val="RDParagraph"/>
      </w:pPr>
      <w:r>
        <w:t>Over the past two decades, links to central London and Newham have been transformed by the arrival of</w:t>
      </w:r>
      <w:r w:rsidR="007E1D05">
        <w:t>,</w:t>
      </w:r>
      <w:r>
        <w:t xml:space="preserve"> and subsequent extension of</w:t>
      </w:r>
      <w:r w:rsidR="007E1D05">
        <w:t>,</w:t>
      </w:r>
      <w:r>
        <w:t xml:space="preserve"> the Docklands Light Railway and the arrival of the Jubilee Line at Canning Town</w:t>
      </w:r>
      <w:r w:rsidR="00420EF7">
        <w:t>. T</w:t>
      </w:r>
      <w:r>
        <w:t xml:space="preserve">he arrival of the Elizabeth Line at Custom House in 2020/21 will enhance these connections further, providing direct links to the West End and Heathrow, and opening up access to the Royal Docks from South East London and East Kent. </w:t>
      </w:r>
    </w:p>
    <w:p w14:paraId="15639AE2" w14:textId="7D466D3D" w:rsidR="009372F7" w:rsidRDefault="00034DD2" w:rsidP="004B12A1">
      <w:pPr>
        <w:pStyle w:val="RDParagraph"/>
      </w:pPr>
      <w:r>
        <w:t>The Royal Docks</w:t>
      </w:r>
      <w:r w:rsidR="003003EB">
        <w:t xml:space="preserve"> </w:t>
      </w:r>
      <w:r w:rsidR="00397666">
        <w:t xml:space="preserve">is also </w:t>
      </w:r>
      <w:r w:rsidR="003003EB">
        <w:t xml:space="preserve">home to a number of important </w:t>
      </w:r>
      <w:r w:rsidR="00CB1CE8">
        <w:t xml:space="preserve">‘city’ </w:t>
      </w:r>
      <w:r w:rsidR="003003EB">
        <w:t>assets which support London’s global links and competitiveness: the ExCel Centre (which hosted 4 million visitors in 2018)</w:t>
      </w:r>
      <w:r w:rsidR="00CB1CE8">
        <w:t>,</w:t>
      </w:r>
      <w:r w:rsidR="003003EB">
        <w:t xml:space="preserve"> London City Airport (which accommodated 4.8 million passengers in 2018)</w:t>
      </w:r>
      <w:r w:rsidR="00CB1CE8">
        <w:t xml:space="preserve">, and the University of East London (with </w:t>
      </w:r>
      <w:r w:rsidR="002250D7">
        <w:t>students spanning 120 nationalities)</w:t>
      </w:r>
      <w:r w:rsidR="003003EB">
        <w:t>.</w:t>
      </w:r>
    </w:p>
    <w:p w14:paraId="0847200F" w14:textId="20211ABD" w:rsidR="00D678CC" w:rsidRDefault="001E2590" w:rsidP="001E2590">
      <w:pPr>
        <w:pStyle w:val="RDParagraph"/>
      </w:pPr>
      <w:r w:rsidRPr="008A12D6">
        <w:rPr>
          <w:rFonts w:eastAsiaTheme="minorHAnsi"/>
          <w:noProof/>
          <w:szCs w:val="20"/>
        </w:rPr>
        <mc:AlternateContent>
          <mc:Choice Requires="wps">
            <w:drawing>
              <wp:anchor distT="0" distB="0" distL="114300" distR="114300" simplePos="0" relativeHeight="251658262" behindDoc="1" locked="0" layoutInCell="1" allowOverlap="1" wp14:anchorId="37322A4E" wp14:editId="2A7A039C">
                <wp:simplePos x="0" y="0"/>
                <wp:positionH relativeFrom="margin">
                  <wp:posOffset>448310</wp:posOffset>
                </wp:positionH>
                <wp:positionV relativeFrom="paragraph">
                  <wp:posOffset>565150</wp:posOffset>
                </wp:positionV>
                <wp:extent cx="5498465" cy="1427480"/>
                <wp:effectExtent l="0" t="0" r="6985" b="1270"/>
                <wp:wrapTight wrapText="bothSides">
                  <wp:wrapPolygon edited="0">
                    <wp:start x="0" y="0"/>
                    <wp:lineTo x="0" y="21331"/>
                    <wp:lineTo x="21553" y="21331"/>
                    <wp:lineTo x="21553" y="0"/>
                    <wp:lineTo x="0" y="0"/>
                  </wp:wrapPolygon>
                </wp:wrapTight>
                <wp:docPr id="328" name="TextBox 6"/>
                <wp:cNvGraphicFramePr/>
                <a:graphic xmlns:a="http://schemas.openxmlformats.org/drawingml/2006/main">
                  <a:graphicData uri="http://schemas.microsoft.com/office/word/2010/wordprocessingShape">
                    <wps:wsp>
                      <wps:cNvSpPr txBox="1"/>
                      <wps:spPr>
                        <a:xfrm>
                          <a:off x="0" y="0"/>
                          <a:ext cx="5498465" cy="1427480"/>
                        </a:xfrm>
                        <a:prstGeom prst="rect">
                          <a:avLst/>
                        </a:prstGeom>
                        <a:solidFill>
                          <a:srgbClr val="D6DEE3"/>
                        </a:solidFill>
                      </wps:spPr>
                      <wps:txbx>
                        <w:txbxContent>
                          <w:p w14:paraId="6E7CE486" w14:textId="77777777" w:rsidR="006F3AC6" w:rsidRPr="000F6F9E" w:rsidRDefault="006F3AC6" w:rsidP="001E2590">
                            <w:pPr>
                              <w:pStyle w:val="RDTier2"/>
                              <w:spacing w:before="20" w:after="60"/>
                              <w:ind w:left="0"/>
                              <w:rPr>
                                <w:sz w:val="24"/>
                              </w:rPr>
                            </w:pPr>
                            <w:r w:rsidRPr="000F6F9E">
                              <w:rPr>
                                <w:sz w:val="24"/>
                              </w:rPr>
                              <w:t>Implications for the Royal Docks Economic Purpose</w:t>
                            </w:r>
                          </w:p>
                          <w:p w14:paraId="4857D45A" w14:textId="77777777" w:rsidR="006F3AC6" w:rsidRDefault="006F3AC6" w:rsidP="00D678CC">
                            <w:pPr>
                              <w:pStyle w:val="Heading5"/>
                              <w:spacing w:before="60" w:after="60"/>
                              <w:ind w:right="198"/>
                              <w:rPr>
                                <w:rFonts w:ascii="Source Sans Pro" w:hAnsi="Source Sans Pro"/>
                                <w:color w:val="052D3F"/>
                                <w:szCs w:val="22"/>
                              </w:rPr>
                            </w:pPr>
                            <w:r>
                              <w:rPr>
                                <w:rFonts w:ascii="Source Sans Pro" w:hAnsi="Source Sans Pro"/>
                                <w:color w:val="052D3F"/>
                                <w:szCs w:val="22"/>
                              </w:rPr>
                              <w:t xml:space="preserve">The diverse global connections of the Royal Docks, via its assets, its people and its institutions, provide the foundations for a genuinely distinct identity within London. </w:t>
                            </w:r>
                          </w:p>
                          <w:p w14:paraId="6C7A5B48" w14:textId="46572411" w:rsidR="006F3AC6" w:rsidRDefault="006F3AC6" w:rsidP="00D678CC">
                            <w:pPr>
                              <w:pStyle w:val="Heading5"/>
                              <w:spacing w:before="60" w:after="60"/>
                              <w:ind w:right="198"/>
                              <w:rPr>
                                <w:rFonts w:ascii="Source Sans Pro" w:hAnsi="Source Sans Pro"/>
                                <w:color w:val="052D3F"/>
                                <w:szCs w:val="22"/>
                              </w:rPr>
                            </w:pPr>
                            <w:r>
                              <w:rPr>
                                <w:rFonts w:ascii="Source Sans Pro" w:hAnsi="Source Sans Pro"/>
                                <w:color w:val="052D3F"/>
                                <w:szCs w:val="22"/>
                              </w:rPr>
                              <w:t xml:space="preserve">London’s future status as a global city hinges on its ability to connect people, share knowledge, and trade goods and services across the world. Given its connections and opportunity, the Royal Docks has potential to be an important fulcrum for the city as it redefines its position in the world over the coming decades. </w:t>
                            </w:r>
                          </w:p>
                          <w:p w14:paraId="2D0CCA26" w14:textId="77777777" w:rsidR="006F3AC6" w:rsidRPr="00F618D3" w:rsidRDefault="006F3AC6" w:rsidP="00D678CC">
                            <w:pPr>
                              <w:pStyle w:val="Heading5"/>
                              <w:ind w:right="198"/>
                              <w:rPr>
                                <w:rFonts w:ascii="Source Sans Pro" w:eastAsia="+mn-ea" w:hAnsi="Source Sans Pro" w:cs="+mn-cs"/>
                                <w:color w:val="425563"/>
                                <w:kern w:val="24"/>
                                <w:szCs w:val="22"/>
                              </w:rPr>
                            </w:pPr>
                            <w:r>
                              <w:rPr>
                                <w:rFonts w:ascii="Source Sans Pro" w:hAnsi="Source Sans Pro"/>
                                <w:color w:val="052D3F"/>
                                <w:szCs w:val="22"/>
                              </w:rPr>
                              <w:t xml:space="preserve"> </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37322A4E" id="_x0000_s1027" type="#_x0000_t202" style="position:absolute;left:0;text-align:left;margin-left:35.3pt;margin-top:44.5pt;width:432.95pt;height:112.4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" fillcolor="#d6dee3" stroked="f">
                <v:textbox>
                  <w:txbxContent>
                    <w:p w14:paraId="6E7CE486" w14:textId="77777777" w:rsidR="006F3AC6" w:rsidRPr="000F6F9E" w:rsidRDefault="006F3AC6" w:rsidP="001E2590">
                      <w:pPr>
                        <w:pStyle w:val="RDTier2"/>
                        <w:spacing w:before="20" w:after="60"/>
                        <w:ind w:left="0"/>
                        <w:rPr>
                          <w:sz w:val="24"/>
                        </w:rPr>
                      </w:pPr>
                      <w:r w:rsidRPr="000F6F9E">
                        <w:rPr>
                          <w:sz w:val="24"/>
                        </w:rPr>
                        <w:t>Implications for the Royal Docks Economic Purpose</w:t>
                      </w:r>
                    </w:p>
                    <w:p w14:paraId="4857D45A" w14:textId="77777777" w:rsidR="006F3AC6" w:rsidRDefault="006F3AC6" w:rsidP="00D678CC">
                      <w:pPr>
                        <w:pStyle w:val="Heading5"/>
                        <w:spacing w:before="60" w:after="60"/>
                        <w:ind w:right="198"/>
                        <w:rPr>
                          <w:rFonts w:ascii="Source Sans Pro" w:hAnsi="Source Sans Pro"/>
                          <w:color w:val="052D3F"/>
                          <w:szCs w:val="22"/>
                        </w:rPr>
                      </w:pPr>
                      <w:r>
                        <w:rPr>
                          <w:rFonts w:ascii="Source Sans Pro" w:hAnsi="Source Sans Pro"/>
                          <w:color w:val="052D3F"/>
                          <w:szCs w:val="22"/>
                        </w:rPr>
                        <w:t xml:space="preserve">The diverse global connections of the Royal Docks, via its assets, its people and its institutions, provide the foundations for a genuinely distinct identity within London. </w:t>
                      </w:r>
                    </w:p>
                    <w:p w14:paraId="6C7A5B48" w14:textId="46572411" w:rsidR="006F3AC6" w:rsidRDefault="006F3AC6" w:rsidP="00D678CC">
                      <w:pPr>
                        <w:pStyle w:val="Heading5"/>
                        <w:spacing w:before="60" w:after="60"/>
                        <w:ind w:right="198"/>
                        <w:rPr>
                          <w:rFonts w:ascii="Source Sans Pro" w:hAnsi="Source Sans Pro"/>
                          <w:color w:val="052D3F"/>
                          <w:szCs w:val="22"/>
                        </w:rPr>
                      </w:pPr>
                      <w:r>
                        <w:rPr>
                          <w:rFonts w:ascii="Source Sans Pro" w:hAnsi="Source Sans Pro"/>
                          <w:color w:val="052D3F"/>
                          <w:szCs w:val="22"/>
                        </w:rPr>
                        <w:t xml:space="preserve">London’s future status as a global city hinges on its ability to connect people, share knowledge, and trade goods and services across the world. Given its connections and opportunity, the Royal Docks has potential to be an important fulcrum for the city as it redefines its position in the world over the coming decades. </w:t>
                      </w:r>
                    </w:p>
                    <w:p w14:paraId="2D0CCA26" w14:textId="77777777" w:rsidR="006F3AC6" w:rsidRPr="00F618D3" w:rsidRDefault="006F3AC6" w:rsidP="00D678CC">
                      <w:pPr>
                        <w:pStyle w:val="Heading5"/>
                        <w:ind w:right="198"/>
                        <w:rPr>
                          <w:rFonts w:ascii="Source Sans Pro" w:eastAsia="+mn-ea" w:hAnsi="Source Sans Pro" w:cs="+mn-cs"/>
                          <w:color w:val="425563"/>
                          <w:kern w:val="24"/>
                          <w:szCs w:val="22"/>
                        </w:rPr>
                      </w:pPr>
                      <w:r>
                        <w:rPr>
                          <w:rFonts w:ascii="Source Sans Pro" w:hAnsi="Source Sans Pro"/>
                          <w:color w:val="052D3F"/>
                          <w:szCs w:val="22"/>
                        </w:rPr>
                        <w:t xml:space="preserve"> </w:t>
                      </w:r>
                    </w:p>
                  </w:txbxContent>
                </v:textbox>
                <w10:wrap type="tight" anchorx="margin"/>
              </v:shape>
            </w:pict>
          </mc:Fallback>
        </mc:AlternateContent>
      </w:r>
      <w:r w:rsidR="007654DB">
        <w:t>Finally, t</w:t>
      </w:r>
      <w:r w:rsidR="00FC5868">
        <w:t xml:space="preserve">he Royal Docks </w:t>
      </w:r>
      <w:r w:rsidR="005E50C9">
        <w:t xml:space="preserve">is located within one of London’s fastest growing and most internationally connected populations: over </w:t>
      </w:r>
      <w:r w:rsidR="00855DE9">
        <w:t xml:space="preserve">48% of Royal Dock’s residents were born outside of the UK, and </w:t>
      </w:r>
      <w:r w:rsidR="00BC31BC">
        <w:t xml:space="preserve">a </w:t>
      </w:r>
      <w:r w:rsidR="001E2A11">
        <w:t xml:space="preserve">nearly </w:t>
      </w:r>
      <w:r w:rsidR="00BC31BC">
        <w:t xml:space="preserve">third of residents have a </w:t>
      </w:r>
      <w:r w:rsidR="008E3BCF">
        <w:t>first</w:t>
      </w:r>
      <w:r w:rsidR="00BC31BC">
        <w:t xml:space="preserve"> language other than English. </w:t>
      </w:r>
      <w:bookmarkStart w:id="10" w:name="_Toc20750094"/>
      <w:bookmarkStart w:id="11" w:name="_Toc20750207"/>
      <w:bookmarkStart w:id="12" w:name="_Toc20750261"/>
    </w:p>
    <w:p w14:paraId="4B2774B8" w14:textId="2A688F1D" w:rsidR="00F61727" w:rsidRDefault="008041F6" w:rsidP="0056155D">
      <w:pPr>
        <w:pStyle w:val="RDTier2"/>
        <w:numPr>
          <w:ilvl w:val="0"/>
          <w:numId w:val="28"/>
        </w:numPr>
      </w:pPr>
      <w:r>
        <w:lastRenderedPageBreak/>
        <w:t>Employment and Business in the Royal Docks</w:t>
      </w:r>
      <w:bookmarkEnd w:id="10"/>
      <w:bookmarkEnd w:id="11"/>
      <w:bookmarkEnd w:id="12"/>
    </w:p>
    <w:p w14:paraId="73FF4623" w14:textId="77777777" w:rsidR="00677DF8" w:rsidRPr="00DA00AD" w:rsidRDefault="00677DF8" w:rsidP="00BF15B0">
      <w:pPr>
        <w:pStyle w:val="KeyMessBullet1Land"/>
        <w:framePr w:w="5208" w:h="8241" w:hRule="exact" w:wrap="around" w:hAnchor="page" w:x="5192" w:y="1167"/>
        <w:numPr>
          <w:ilvl w:val="0"/>
          <w:numId w:val="0"/>
        </w:numPr>
        <w:ind w:left="567" w:hanging="340"/>
        <w:rPr>
          <w:b/>
          <w:color w:val="FF5000" w:themeColor="accent6"/>
          <w:sz w:val="22"/>
          <w:lang w:val="en-US"/>
        </w:rPr>
      </w:pPr>
      <w:r w:rsidRPr="00DA00AD">
        <w:rPr>
          <w:b/>
          <w:color w:val="FF5000" w:themeColor="accent6"/>
          <w:sz w:val="22"/>
          <w:lang w:val="en-US"/>
        </w:rPr>
        <w:t>Current Position: At a Glance</w:t>
      </w:r>
    </w:p>
    <w:p w14:paraId="2332B1F0" w14:textId="58023B04" w:rsidR="00677DF8" w:rsidRDefault="00677DF8" w:rsidP="0056155D">
      <w:pPr>
        <w:pStyle w:val="RDBoxnumber"/>
        <w:framePr w:w="5208" w:h="8241" w:hRule="exact" w:wrap="around" w:vAnchor="text" w:x="5192" w:y="1167"/>
        <w:numPr>
          <w:ilvl w:val="0"/>
          <w:numId w:val="30"/>
        </w:numPr>
        <w:rPr>
          <w:color w:val="FF5000" w:themeColor="accent6"/>
          <w:sz w:val="20"/>
          <w:lang w:val="en-US"/>
        </w:rPr>
      </w:pPr>
      <w:r>
        <w:rPr>
          <w:color w:val="FF5000" w:themeColor="accent6"/>
          <w:sz w:val="20"/>
          <w:lang w:val="en-US"/>
        </w:rPr>
        <w:t xml:space="preserve">In total there are </w:t>
      </w:r>
      <w:r w:rsidR="0017144F" w:rsidRPr="004475C4">
        <w:rPr>
          <w:color w:val="FF5000" w:themeColor="accent6"/>
          <w:sz w:val="20"/>
          <w:lang w:val="en-US"/>
        </w:rPr>
        <w:t>0.6</w:t>
      </w:r>
      <w:r w:rsidRPr="004475C4">
        <w:rPr>
          <w:color w:val="FF5000" w:themeColor="accent6"/>
          <w:sz w:val="20"/>
          <w:lang w:val="en-US"/>
        </w:rPr>
        <w:t xml:space="preserve"> jobs</w:t>
      </w:r>
      <w:r>
        <w:rPr>
          <w:color w:val="FF5000" w:themeColor="accent6"/>
          <w:sz w:val="20"/>
          <w:lang w:val="en-US"/>
        </w:rPr>
        <w:t xml:space="preserve"> per resident in the Royal Docks</w:t>
      </w:r>
      <w:r w:rsidR="00A74CBD">
        <w:rPr>
          <w:color w:val="FF5000" w:themeColor="accent6"/>
          <w:sz w:val="20"/>
          <w:lang w:val="en-US"/>
        </w:rPr>
        <w:t xml:space="preserve"> (</w:t>
      </w:r>
      <w:r>
        <w:rPr>
          <w:color w:val="FF5000" w:themeColor="accent6"/>
          <w:sz w:val="20"/>
          <w:lang w:val="en-US"/>
        </w:rPr>
        <w:t>0.4 across Newham</w:t>
      </w:r>
      <w:r w:rsidR="00365E24">
        <w:rPr>
          <w:color w:val="FF5000" w:themeColor="accent6"/>
          <w:sz w:val="20"/>
          <w:lang w:val="en-US"/>
        </w:rPr>
        <w:t xml:space="preserve"> and 0.9 across London</w:t>
      </w:r>
      <w:r w:rsidR="00A74CBD">
        <w:rPr>
          <w:color w:val="FF5000" w:themeColor="accent6"/>
          <w:sz w:val="20"/>
          <w:lang w:val="en-US"/>
        </w:rPr>
        <w:t>)</w:t>
      </w:r>
      <w:r>
        <w:rPr>
          <w:color w:val="FF5000" w:themeColor="accent6"/>
          <w:sz w:val="20"/>
          <w:lang w:val="en-US"/>
        </w:rPr>
        <w:t xml:space="preserve"> </w:t>
      </w:r>
    </w:p>
    <w:p w14:paraId="6AE11C87" w14:textId="24122287" w:rsidR="00677DF8" w:rsidRDefault="00677DF8" w:rsidP="0056155D">
      <w:pPr>
        <w:pStyle w:val="RDBoxnumber"/>
        <w:framePr w:w="5208" w:h="8241" w:hRule="exact" w:wrap="around" w:vAnchor="text" w:x="5192" w:y="1167"/>
        <w:numPr>
          <w:ilvl w:val="0"/>
          <w:numId w:val="30"/>
        </w:numPr>
        <w:rPr>
          <w:color w:val="FF5000" w:themeColor="accent6"/>
          <w:sz w:val="20"/>
          <w:lang w:val="en-US"/>
        </w:rPr>
      </w:pPr>
      <w:r>
        <w:rPr>
          <w:color w:val="FF5000" w:themeColor="accent6"/>
          <w:sz w:val="20"/>
          <w:lang w:val="en-US"/>
        </w:rPr>
        <w:t xml:space="preserve">The largest employment sectors in the Royal Docks are retail, education, hospitality, leisure and recreation – providing </w:t>
      </w:r>
      <w:r w:rsidR="00764DD3" w:rsidRPr="004475C4">
        <w:rPr>
          <w:color w:val="FF5000" w:themeColor="accent6"/>
          <w:sz w:val="20"/>
          <w:lang w:val="en-US"/>
        </w:rPr>
        <w:t>16,</w:t>
      </w:r>
      <w:r w:rsidR="00DB4548" w:rsidRPr="004475C4">
        <w:rPr>
          <w:color w:val="FF5000" w:themeColor="accent6"/>
          <w:sz w:val="20"/>
          <w:lang w:val="en-US"/>
        </w:rPr>
        <w:t>500</w:t>
      </w:r>
      <w:r w:rsidR="00DB4548">
        <w:rPr>
          <w:color w:val="FF5000" w:themeColor="accent6"/>
          <w:sz w:val="20"/>
          <w:lang w:val="en-US"/>
        </w:rPr>
        <w:t xml:space="preserve"> </w:t>
      </w:r>
      <w:r>
        <w:rPr>
          <w:color w:val="FF5000" w:themeColor="accent6"/>
          <w:sz w:val="20"/>
          <w:lang w:val="en-US"/>
        </w:rPr>
        <w:t>j</w:t>
      </w:r>
      <w:r w:rsidRPr="004475C4">
        <w:rPr>
          <w:color w:val="FF5000" w:themeColor="accent6"/>
          <w:sz w:val="20"/>
          <w:lang w:val="en-US"/>
        </w:rPr>
        <w:t>obs</w:t>
      </w:r>
      <w:r>
        <w:rPr>
          <w:color w:val="FF5000" w:themeColor="accent6"/>
          <w:sz w:val="20"/>
          <w:lang w:val="en-US"/>
        </w:rPr>
        <w:t xml:space="preserve"> in total</w:t>
      </w:r>
    </w:p>
    <w:p w14:paraId="591046CD" w14:textId="4E5C64B1" w:rsidR="00677DF8" w:rsidRPr="002527FF" w:rsidRDefault="00677DF8" w:rsidP="0056155D">
      <w:pPr>
        <w:pStyle w:val="RDBoxnumber"/>
        <w:framePr w:w="5208" w:h="8241" w:hRule="exact" w:wrap="around" w:vAnchor="text" w:x="5192" w:y="1167"/>
        <w:numPr>
          <w:ilvl w:val="0"/>
          <w:numId w:val="30"/>
        </w:numPr>
        <w:rPr>
          <w:color w:val="FF5000" w:themeColor="accent6"/>
          <w:sz w:val="20"/>
          <w:lang w:val="en-US"/>
        </w:rPr>
      </w:pPr>
      <w:r>
        <w:rPr>
          <w:color w:val="FF5000" w:themeColor="accent6"/>
          <w:sz w:val="20"/>
          <w:lang w:val="en-US"/>
        </w:rPr>
        <w:t xml:space="preserve">Manufacturing, warehousing and logistics, and transport are the area’s strongest employment ‘specialisms’, reflecting the ongoing industrial role of the area (combined </w:t>
      </w:r>
      <w:r w:rsidRPr="004475C4">
        <w:rPr>
          <w:color w:val="FF5000" w:themeColor="accent6"/>
          <w:sz w:val="20"/>
          <w:lang w:val="en-US"/>
        </w:rPr>
        <w:t xml:space="preserve">jobs of </w:t>
      </w:r>
      <w:r w:rsidR="00E12CB4" w:rsidRPr="004475C4">
        <w:rPr>
          <w:color w:val="FF5000" w:themeColor="accent6"/>
          <w:sz w:val="20"/>
          <w:lang w:val="en-US"/>
        </w:rPr>
        <w:t>6,</w:t>
      </w:r>
      <w:r w:rsidR="00767CC5" w:rsidRPr="004475C4">
        <w:rPr>
          <w:color w:val="FF5000" w:themeColor="accent6"/>
          <w:sz w:val="20"/>
          <w:lang w:val="en-US"/>
        </w:rPr>
        <w:t>000</w:t>
      </w:r>
      <w:r>
        <w:rPr>
          <w:color w:val="FF5000" w:themeColor="accent6"/>
          <w:sz w:val="20"/>
          <w:lang w:val="en-US"/>
        </w:rPr>
        <w:t>)</w:t>
      </w:r>
    </w:p>
    <w:p w14:paraId="607905B4" w14:textId="33298854" w:rsidR="00677DF8" w:rsidRPr="003F23CE" w:rsidRDefault="00677DF8" w:rsidP="0056155D">
      <w:pPr>
        <w:pStyle w:val="RDBoxnumber"/>
        <w:framePr w:w="5208" w:h="8241" w:hRule="exact" w:wrap="around" w:vAnchor="text" w:x="5192" w:y="1167"/>
        <w:numPr>
          <w:ilvl w:val="0"/>
          <w:numId w:val="30"/>
        </w:numPr>
        <w:rPr>
          <w:color w:val="FF5000" w:themeColor="accent6"/>
          <w:sz w:val="20"/>
          <w:lang w:val="en-US"/>
        </w:rPr>
      </w:pPr>
      <w:r>
        <w:rPr>
          <w:color w:val="FF5000" w:themeColor="accent6"/>
          <w:sz w:val="20"/>
        </w:rPr>
        <w:t>Concentration of employment in more productive ‘knowledge’ activities less than half London average</w:t>
      </w:r>
    </w:p>
    <w:p w14:paraId="1DDCC56D" w14:textId="79BBEDCA" w:rsidR="00677DF8" w:rsidRPr="00EA2675" w:rsidRDefault="00677DF8" w:rsidP="0056155D">
      <w:pPr>
        <w:pStyle w:val="RDBoxnumber"/>
        <w:framePr w:w="5208" w:h="8241" w:hRule="exact" w:wrap="around" w:vAnchor="text" w:x="5192" w:y="1167"/>
        <w:numPr>
          <w:ilvl w:val="0"/>
          <w:numId w:val="30"/>
        </w:numPr>
        <w:rPr>
          <w:color w:val="FF5000" w:themeColor="accent6"/>
          <w:sz w:val="20"/>
          <w:lang w:val="en-US"/>
        </w:rPr>
      </w:pPr>
      <w:r>
        <w:rPr>
          <w:color w:val="FF5000" w:themeColor="accent6"/>
          <w:sz w:val="20"/>
        </w:rPr>
        <w:t>64% of current commercial space within the Royal Docks is classified as ‘industrial’ (B1c, B2, B8)</w:t>
      </w:r>
      <w:r w:rsidR="00AC72F8">
        <w:rPr>
          <w:color w:val="FF5000" w:themeColor="accent6"/>
          <w:sz w:val="20"/>
        </w:rPr>
        <w:t>, compared to 38% across Newham</w:t>
      </w:r>
      <w:r w:rsidR="008A3496">
        <w:rPr>
          <w:color w:val="FF5000" w:themeColor="accent6"/>
          <w:sz w:val="20"/>
        </w:rPr>
        <w:t>.</w:t>
      </w:r>
      <w:r>
        <w:rPr>
          <w:color w:val="FF5000" w:themeColor="accent6"/>
          <w:sz w:val="20"/>
        </w:rPr>
        <w:t xml:space="preserve"> </w:t>
      </w:r>
    </w:p>
    <w:p w14:paraId="398EA3D1" w14:textId="77777777" w:rsidR="00677DF8" w:rsidRDefault="00677DF8" w:rsidP="00BF15B0">
      <w:pPr>
        <w:pStyle w:val="RDBoxnumber"/>
        <w:framePr w:w="5208" w:h="8241" w:hRule="exact" w:wrap="around" w:vAnchor="text" w:x="5192" w:y="1167"/>
        <w:numPr>
          <w:ilvl w:val="0"/>
          <w:numId w:val="0"/>
        </w:numPr>
        <w:ind w:left="587" w:hanging="360"/>
        <w:rPr>
          <w:color w:val="FF5000" w:themeColor="accent6"/>
          <w:sz w:val="20"/>
        </w:rPr>
      </w:pPr>
    </w:p>
    <w:p w14:paraId="302F4BC3" w14:textId="77777777" w:rsidR="00677DF8" w:rsidRDefault="00677DF8" w:rsidP="00BF15B0">
      <w:pPr>
        <w:pStyle w:val="RDBoxnumber"/>
        <w:framePr w:w="5208" w:h="8241" w:hRule="exact" w:wrap="around" w:vAnchor="text" w:x="5192" w:y="1167"/>
        <w:numPr>
          <w:ilvl w:val="0"/>
          <w:numId w:val="0"/>
        </w:numPr>
        <w:ind w:left="587" w:hanging="360"/>
        <w:rPr>
          <w:color w:val="FF5000" w:themeColor="accent6"/>
          <w:sz w:val="20"/>
        </w:rPr>
      </w:pPr>
    </w:p>
    <w:p w14:paraId="217A5295" w14:textId="77777777" w:rsidR="00677DF8" w:rsidRDefault="00677DF8" w:rsidP="00BF15B0">
      <w:pPr>
        <w:pStyle w:val="RDBoxnumber"/>
        <w:framePr w:w="5208" w:h="8241" w:hRule="exact" w:wrap="around" w:vAnchor="text" w:x="5192" w:y="1167"/>
        <w:numPr>
          <w:ilvl w:val="0"/>
          <w:numId w:val="0"/>
        </w:numPr>
        <w:ind w:left="587" w:hanging="360"/>
        <w:rPr>
          <w:color w:val="FF5000" w:themeColor="accent6"/>
          <w:sz w:val="20"/>
        </w:rPr>
      </w:pPr>
    </w:p>
    <w:p w14:paraId="6CBED054" w14:textId="77777777" w:rsidR="00677DF8" w:rsidRDefault="00677DF8" w:rsidP="00BF15B0">
      <w:pPr>
        <w:pStyle w:val="RDBoxnumber"/>
        <w:framePr w:w="5208" w:h="8241" w:hRule="exact" w:wrap="around" w:vAnchor="text" w:x="5192" w:y="1167"/>
        <w:numPr>
          <w:ilvl w:val="0"/>
          <w:numId w:val="0"/>
        </w:numPr>
        <w:ind w:left="587" w:hanging="360"/>
        <w:rPr>
          <w:color w:val="FF5000" w:themeColor="accent6"/>
          <w:sz w:val="20"/>
        </w:rPr>
      </w:pPr>
    </w:p>
    <w:p w14:paraId="6F4B1B2D" w14:textId="6165AB20" w:rsidR="00677DF8" w:rsidRDefault="00677DF8" w:rsidP="00BF15B0">
      <w:pPr>
        <w:pStyle w:val="RDBoxnumber"/>
        <w:framePr w:w="5208" w:h="8241" w:hRule="exact" w:wrap="around" w:vAnchor="text" w:x="5192" w:y="1167"/>
        <w:numPr>
          <w:ilvl w:val="0"/>
          <w:numId w:val="0"/>
        </w:numPr>
        <w:ind w:left="587" w:hanging="360"/>
        <w:rPr>
          <w:color w:val="FF5000" w:themeColor="accent6"/>
          <w:sz w:val="20"/>
        </w:rPr>
      </w:pPr>
    </w:p>
    <w:p w14:paraId="2F5E8682" w14:textId="53483BC2" w:rsidR="00677DF8" w:rsidRDefault="00677DF8" w:rsidP="00BF15B0">
      <w:pPr>
        <w:pStyle w:val="RDBoxnumber"/>
        <w:framePr w:w="5208" w:h="8241" w:hRule="exact" w:wrap="around" w:vAnchor="text" w:x="5192" w:y="1167"/>
        <w:numPr>
          <w:ilvl w:val="0"/>
          <w:numId w:val="0"/>
        </w:numPr>
        <w:ind w:left="587" w:hanging="360"/>
        <w:rPr>
          <w:color w:val="FF5000" w:themeColor="accent6"/>
          <w:sz w:val="20"/>
        </w:rPr>
      </w:pPr>
    </w:p>
    <w:p w14:paraId="585AF820" w14:textId="77777777" w:rsidR="00677DF8" w:rsidRPr="00D31C11" w:rsidRDefault="00677DF8" w:rsidP="00BF15B0">
      <w:pPr>
        <w:pStyle w:val="RDBoxnumber"/>
        <w:framePr w:w="5208" w:h="8241" w:hRule="exact" w:wrap="around" w:vAnchor="text" w:x="5192" w:y="1167"/>
        <w:numPr>
          <w:ilvl w:val="0"/>
          <w:numId w:val="0"/>
        </w:numPr>
        <w:ind w:left="587" w:hanging="360"/>
        <w:rPr>
          <w:color w:val="FF5000" w:themeColor="accent6"/>
          <w:sz w:val="20"/>
          <w:lang w:val="en-US"/>
        </w:rPr>
      </w:pPr>
    </w:p>
    <w:p w14:paraId="59337890" w14:textId="10E2A223" w:rsidR="00F12AB3" w:rsidRDefault="00F12AB3" w:rsidP="00EF5853">
      <w:pPr>
        <w:pStyle w:val="RDParagraph"/>
      </w:pPr>
      <w:r w:rsidRPr="00655201">
        <w:t>O</w:t>
      </w:r>
      <w:r w:rsidR="005475D8" w:rsidRPr="00655201">
        <w:t>v</w:t>
      </w:r>
      <w:r w:rsidRPr="00655201">
        <w:t xml:space="preserve">er the past decade, </w:t>
      </w:r>
      <w:r w:rsidR="003C3AE6" w:rsidRPr="00655201">
        <w:t>both the</w:t>
      </w:r>
      <w:r w:rsidRPr="00655201">
        <w:t xml:space="preserve"> Royal Docks</w:t>
      </w:r>
      <w:r w:rsidR="003C3AE6" w:rsidRPr="00655201">
        <w:t xml:space="preserve"> and Newham have</w:t>
      </w:r>
      <w:r w:rsidRPr="00655201">
        <w:t xml:space="preserve"> experienced </w:t>
      </w:r>
      <w:r w:rsidR="003C3AE6" w:rsidRPr="00655201">
        <w:t xml:space="preserve">strong </w:t>
      </w:r>
      <w:r w:rsidRPr="00655201">
        <w:t xml:space="preserve">economic growth: </w:t>
      </w:r>
      <w:r w:rsidR="006A31E8" w:rsidRPr="00655201">
        <w:t>in</w:t>
      </w:r>
      <w:r w:rsidR="005D65DB">
        <w:t xml:space="preserve"> </w:t>
      </w:r>
      <w:r w:rsidR="006A31E8" w:rsidRPr="00655201">
        <w:t xml:space="preserve">the Royal Docks, the number of jobs has increased by </w:t>
      </w:r>
      <w:r w:rsidR="00BD0032" w:rsidRPr="00655201">
        <w:t>around 9,300</w:t>
      </w:r>
      <w:r w:rsidR="006A31E8" w:rsidRPr="00655201">
        <w:t xml:space="preserve"> </w:t>
      </w:r>
      <w:r w:rsidR="00125275" w:rsidRPr="00655201">
        <w:t xml:space="preserve">(growth of 39%), while in Newham the number of jobs </w:t>
      </w:r>
      <w:r w:rsidR="00147046" w:rsidRPr="00655201">
        <w:t xml:space="preserve">has increased by </w:t>
      </w:r>
      <w:r w:rsidR="000C52BE" w:rsidRPr="00655201">
        <w:t>23%.</w:t>
      </w:r>
      <w:r w:rsidR="002D74C6" w:rsidRPr="00655201">
        <w:t xml:space="preserve"> Growth has been </w:t>
      </w:r>
      <w:r w:rsidR="0037034A" w:rsidRPr="00655201">
        <w:t xml:space="preserve">spread broadly across </w:t>
      </w:r>
      <w:r w:rsidR="002D74C6" w:rsidRPr="00655201">
        <w:t>the economy, with</w:t>
      </w:r>
      <w:r w:rsidR="000072A0" w:rsidRPr="00655201">
        <w:t xml:space="preserve"> </w:t>
      </w:r>
      <w:r w:rsidR="0037034A" w:rsidRPr="00655201">
        <w:t>a contraction</w:t>
      </w:r>
      <w:r w:rsidR="00DE346C" w:rsidRPr="00655201">
        <w:t xml:space="preserve"> in employment in only a small number of sectors</w:t>
      </w:r>
      <w:r w:rsidR="004C3342" w:rsidRPr="00655201">
        <w:t>.</w:t>
      </w:r>
      <w:r w:rsidR="004C3342">
        <w:t xml:space="preserve"> </w:t>
      </w:r>
      <w:r w:rsidR="0037034A">
        <w:t xml:space="preserve"> </w:t>
      </w:r>
    </w:p>
    <w:p w14:paraId="6FF5C0A8" w14:textId="6145F085" w:rsidR="000C52BE" w:rsidRDefault="009822FE" w:rsidP="00C173FC">
      <w:pPr>
        <w:pStyle w:val="RDParagraph"/>
      </w:pPr>
      <w:r>
        <w:t>While this demonstrates strong momentum,</w:t>
      </w:r>
      <w:r w:rsidR="0088392F">
        <w:t xml:space="preserve"> </w:t>
      </w:r>
      <w:r w:rsidR="006A2AEC">
        <w:t xml:space="preserve">economic ‘density’ remains comparatively low, and </w:t>
      </w:r>
      <w:r w:rsidR="00C173FC">
        <w:t xml:space="preserve">the </w:t>
      </w:r>
      <w:r w:rsidR="007A39EE">
        <w:t xml:space="preserve">profile of the economy continues to </w:t>
      </w:r>
      <w:r w:rsidR="006F787D">
        <w:t xml:space="preserve">be orientated around industrial and </w:t>
      </w:r>
      <w:r w:rsidR="00AA5509">
        <w:t>service activities, with the activities of a number of the Royal Dock’s major institutions at the forefront of this</w:t>
      </w:r>
      <w:r w:rsidR="00024F06">
        <w:t>:</w:t>
      </w:r>
      <w:r w:rsidR="00AA5509">
        <w:t xml:space="preserve"> manufacturing (</w:t>
      </w:r>
      <w:r w:rsidR="0073736F">
        <w:t xml:space="preserve">Tate </w:t>
      </w:r>
      <w:r w:rsidR="00024F06">
        <w:t>&amp;</w:t>
      </w:r>
      <w:r w:rsidR="0073736F">
        <w:t xml:space="preserve"> Lyle), </w:t>
      </w:r>
      <w:r w:rsidR="00AE52E3">
        <w:t xml:space="preserve">transport (City Airport), </w:t>
      </w:r>
      <w:r w:rsidR="00054EB1">
        <w:t>education (University of E</w:t>
      </w:r>
      <w:r w:rsidR="00C62BD9">
        <w:t>a</w:t>
      </w:r>
      <w:r w:rsidR="00054EB1">
        <w:t xml:space="preserve">st London) </w:t>
      </w:r>
      <w:r w:rsidR="00AE52E3">
        <w:t>and hospitality</w:t>
      </w:r>
      <w:r w:rsidR="00BF15B0">
        <w:t xml:space="preserve"> </w:t>
      </w:r>
      <w:r w:rsidR="00FA6729">
        <w:t>&amp;</w:t>
      </w:r>
      <w:r w:rsidR="00AE52E3">
        <w:t xml:space="preserve"> recreation (</w:t>
      </w:r>
      <w:r w:rsidR="00C7200A">
        <w:t>hotel</w:t>
      </w:r>
      <w:r w:rsidR="00BF15B0">
        <w:t>s</w:t>
      </w:r>
      <w:r w:rsidR="00C7200A">
        <w:t>)</w:t>
      </w:r>
      <w:r w:rsidR="00054EB1">
        <w:t>.</w:t>
      </w:r>
      <w:r w:rsidR="00C37540">
        <w:t xml:space="preserve"> </w:t>
      </w:r>
    </w:p>
    <w:p w14:paraId="4561F716" w14:textId="1462E3F0" w:rsidR="00C37540" w:rsidRDefault="00A26A30" w:rsidP="00C173FC">
      <w:pPr>
        <w:pStyle w:val="RDParagraph"/>
      </w:pPr>
      <w:r>
        <w:rPr>
          <w:noProof/>
          <w:color w:val="FF5000" w:themeColor="accent6"/>
          <w:sz w:val="20"/>
        </w:rPr>
        <w:drawing>
          <wp:anchor distT="0" distB="0" distL="114300" distR="114300" simplePos="0" relativeHeight="251658263" behindDoc="0" locked="0" layoutInCell="1" allowOverlap="1" wp14:anchorId="2554667A" wp14:editId="5E1BC5B5">
            <wp:simplePos x="0" y="0"/>
            <wp:positionH relativeFrom="margin">
              <wp:posOffset>2620645</wp:posOffset>
            </wp:positionH>
            <wp:positionV relativeFrom="paragraph">
              <wp:posOffset>581100</wp:posOffset>
            </wp:positionV>
            <wp:extent cx="3184305" cy="2374608"/>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4305" cy="2374608"/>
                    </a:xfrm>
                    <a:prstGeom prst="rect">
                      <a:avLst/>
                    </a:prstGeom>
                    <a:noFill/>
                  </pic:spPr>
                </pic:pic>
              </a:graphicData>
            </a:graphic>
            <wp14:sizeRelH relativeFrom="page">
              <wp14:pctWidth>0</wp14:pctWidth>
            </wp14:sizeRelH>
            <wp14:sizeRelV relativeFrom="page">
              <wp14:pctHeight>0</wp14:pctHeight>
            </wp14:sizeRelV>
          </wp:anchor>
        </w:drawing>
      </w:r>
      <w:r w:rsidR="00C37540">
        <w:t>Historically, the Royal Docks has played less of a role as an office location: currently only around</w:t>
      </w:r>
      <w:r w:rsidR="00857379">
        <w:t xml:space="preserve"> 6% of commercial space locally is characterised as </w:t>
      </w:r>
      <w:r w:rsidR="00677DF8">
        <w:t xml:space="preserve">office space and partly reflecting this, the local concentration of activity in more productive ‘knowledge’ activities is less than half the London average. </w:t>
      </w:r>
    </w:p>
    <w:p w14:paraId="0CF71DD8" w14:textId="20D51118" w:rsidR="00173C89" w:rsidRDefault="00677DF8" w:rsidP="008A3496">
      <w:pPr>
        <w:pStyle w:val="RDParagraph"/>
        <w:rPr>
          <w:lang w:val="en-US"/>
        </w:rPr>
      </w:pPr>
      <w:r>
        <w:t xml:space="preserve">Despite this, </w:t>
      </w:r>
      <w:r w:rsidR="005010B6">
        <w:t xml:space="preserve">the Royal Docks </w:t>
      </w:r>
      <w:r w:rsidR="00324154">
        <w:t>benefits</w:t>
      </w:r>
      <w:r w:rsidR="005010B6">
        <w:t xml:space="preserve"> from access to a highly enterprising population</w:t>
      </w:r>
      <w:r w:rsidR="000D0215">
        <w:t xml:space="preserve"> across Newham</w:t>
      </w:r>
      <w:r w:rsidR="00717AA4">
        <w:t>,</w:t>
      </w:r>
      <w:r w:rsidR="005010B6">
        <w:t xml:space="preserve"> and there </w:t>
      </w:r>
      <w:r w:rsidR="000D0215">
        <w:t>has been recent growth in creative enterprise,</w:t>
      </w:r>
      <w:r w:rsidR="008A3496">
        <w:t xml:space="preserve"> locally</w:t>
      </w:r>
      <w:r w:rsidR="000D0215">
        <w:t xml:space="preserve"> partl</w:t>
      </w:r>
      <w:r w:rsidR="00B85BA8">
        <w:t>y</w:t>
      </w:r>
      <w:r w:rsidR="000D0215">
        <w:t xml:space="preserve"> as a result of </w:t>
      </w:r>
      <w:r w:rsidR="00324154">
        <w:t xml:space="preserve">the new flexible workspaces such as the Silver </w:t>
      </w:r>
      <w:r w:rsidR="00B85BA8">
        <w:t>Building</w:t>
      </w:r>
      <w:r w:rsidR="008A3496">
        <w:t xml:space="preserve"> coming online</w:t>
      </w:r>
      <w:r w:rsidR="00324154">
        <w:t xml:space="preserve">. </w:t>
      </w:r>
      <w:r w:rsidR="00F30798">
        <w:t xml:space="preserve">The </w:t>
      </w:r>
      <w:r w:rsidR="00A919FC">
        <w:t>area</w:t>
      </w:r>
      <w:r w:rsidR="004359CB">
        <w:t xml:space="preserve"> also benefits from a</w:t>
      </w:r>
      <w:r w:rsidR="00717AA4">
        <w:t xml:space="preserve">ccess to a </w:t>
      </w:r>
      <w:r w:rsidR="004359CB">
        <w:t xml:space="preserve">highly talented </w:t>
      </w:r>
      <w:r w:rsidR="00717AA4">
        <w:t>labour market</w:t>
      </w:r>
      <w:r w:rsidR="004359CB">
        <w:t>:</w:t>
      </w:r>
      <w:r w:rsidR="00717AA4">
        <w:t xml:space="preserve"> </w:t>
      </w:r>
      <w:r w:rsidR="00B722B3">
        <w:t>in terms of degree level qualifications alone, there are</w:t>
      </w:r>
      <w:r w:rsidR="00CC6610">
        <w:t xml:space="preserve"> </w:t>
      </w:r>
      <w:r w:rsidR="006B2D15">
        <w:t>120,000 people across Newham and 3.2 million across London</w:t>
      </w:r>
      <w:r w:rsidR="009656D5">
        <w:t xml:space="preserve">. This </w:t>
      </w:r>
      <w:r w:rsidR="006B2D15">
        <w:t>provides a</w:t>
      </w:r>
      <w:r w:rsidR="00CC6610">
        <w:t xml:space="preserve"> significant resource to draw from in growing and evolving the economy. </w:t>
      </w:r>
      <w:r w:rsidR="006B2D15">
        <w:t xml:space="preserve"> </w:t>
      </w:r>
    </w:p>
    <w:p w14:paraId="43B5A1B1" w14:textId="28FD96B8" w:rsidR="00F61727" w:rsidRDefault="005B1383" w:rsidP="00F61727">
      <w:pPr>
        <w:pStyle w:val="Heading5"/>
      </w:pPr>
      <w:r w:rsidRPr="008A12D6">
        <w:rPr>
          <w:rFonts w:eastAsiaTheme="minorHAnsi"/>
          <w:noProof/>
          <w:szCs w:val="20"/>
        </w:rPr>
        <mc:AlternateContent>
          <mc:Choice Requires="wps">
            <w:drawing>
              <wp:anchor distT="0" distB="0" distL="114300" distR="114300" simplePos="0" relativeHeight="251658241" behindDoc="1" locked="0" layoutInCell="1" allowOverlap="1" wp14:anchorId="1830166B" wp14:editId="6BAEEA85">
                <wp:simplePos x="0" y="0"/>
                <wp:positionH relativeFrom="margin">
                  <wp:posOffset>423855</wp:posOffset>
                </wp:positionH>
                <wp:positionV relativeFrom="paragraph">
                  <wp:posOffset>52705</wp:posOffset>
                </wp:positionV>
                <wp:extent cx="5506720" cy="1771650"/>
                <wp:effectExtent l="0" t="0" r="0" b="0"/>
                <wp:wrapTight wrapText="bothSides">
                  <wp:wrapPolygon edited="0">
                    <wp:start x="0" y="0"/>
                    <wp:lineTo x="0" y="21368"/>
                    <wp:lineTo x="21520" y="21368"/>
                    <wp:lineTo x="21520" y="0"/>
                    <wp:lineTo x="0" y="0"/>
                  </wp:wrapPolygon>
                </wp:wrapTight>
                <wp:docPr id="318" name="TextBox 6"/>
                <wp:cNvGraphicFramePr/>
                <a:graphic xmlns:a="http://schemas.openxmlformats.org/drawingml/2006/main">
                  <a:graphicData uri="http://schemas.microsoft.com/office/word/2010/wordprocessingShape">
                    <wps:wsp>
                      <wps:cNvSpPr txBox="1"/>
                      <wps:spPr>
                        <a:xfrm>
                          <a:off x="0" y="0"/>
                          <a:ext cx="5506720" cy="1771650"/>
                        </a:xfrm>
                        <a:prstGeom prst="rect">
                          <a:avLst/>
                        </a:prstGeom>
                        <a:solidFill>
                          <a:srgbClr val="D6DEE3"/>
                        </a:solidFill>
                      </wps:spPr>
                      <wps:txbx>
                        <w:txbxContent>
                          <w:p w14:paraId="5A839DB4" w14:textId="4F02E131" w:rsidR="006F3AC6" w:rsidRPr="006A0F8B" w:rsidRDefault="006F3AC6" w:rsidP="001565E3">
                            <w:pPr>
                              <w:pStyle w:val="RDTier2"/>
                              <w:spacing w:before="0" w:after="60"/>
                              <w:ind w:left="0"/>
                              <w:rPr>
                                <w:sz w:val="24"/>
                              </w:rPr>
                            </w:pPr>
                            <w:r w:rsidRPr="006A0F8B">
                              <w:rPr>
                                <w:sz w:val="24"/>
                              </w:rPr>
                              <w:t>Implications for the Royal Docks Economic Purpose</w:t>
                            </w:r>
                          </w:p>
                          <w:p w14:paraId="21787850" w14:textId="50069FF5" w:rsidR="006F3AC6" w:rsidRDefault="006F3AC6" w:rsidP="001565E3">
                            <w:pPr>
                              <w:pStyle w:val="Heading5"/>
                              <w:spacing w:before="60"/>
                              <w:ind w:right="198"/>
                              <w:rPr>
                                <w:rFonts w:ascii="Source Sans Pro" w:hAnsi="Source Sans Pro"/>
                                <w:color w:val="052D3F"/>
                                <w:szCs w:val="22"/>
                              </w:rPr>
                            </w:pPr>
                            <w:r>
                              <w:rPr>
                                <w:rFonts w:ascii="Source Sans Pro" w:hAnsi="Source Sans Pro"/>
                                <w:color w:val="052D3F"/>
                                <w:szCs w:val="22"/>
                              </w:rPr>
                              <w:t xml:space="preserve">The Royal Docks economy has long been characterised as a place of industry and production and recent decades have also seen growth in local service and hospitality activities (partly linked to City airport and Excel). </w:t>
                            </w:r>
                          </w:p>
                          <w:p w14:paraId="1F7D5327" w14:textId="40A58547" w:rsidR="006F3AC6" w:rsidRPr="00F618D3" w:rsidRDefault="006F3AC6" w:rsidP="00173C89">
                            <w:pPr>
                              <w:pStyle w:val="Heading5"/>
                              <w:ind w:right="198"/>
                              <w:rPr>
                                <w:rFonts w:ascii="Source Sans Pro" w:eastAsia="+mn-ea" w:hAnsi="Source Sans Pro" w:cs="+mn-cs"/>
                                <w:color w:val="425563"/>
                                <w:kern w:val="24"/>
                                <w:szCs w:val="22"/>
                              </w:rPr>
                            </w:pPr>
                            <w:r>
                              <w:rPr>
                                <w:rFonts w:ascii="Source Sans Pro" w:hAnsi="Source Sans Pro"/>
                                <w:color w:val="052D3F"/>
                                <w:szCs w:val="22"/>
                              </w:rPr>
                              <w:t xml:space="preserve">Despite recent growth, the area lacks economic critical mass and density, particularly within more ‘knowledge intensive’ sectors and activities. The development of a more balanced and productive economy will be important in ensuring that future growth reflects evolving demand within London and nationally, and in helping to build long term economic resilience. </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1830166B" id="_x0000_s1028" type="#_x0000_t202" style="position:absolute;left:0;text-align:left;margin-left:33.35pt;margin-top:4.15pt;width:433.6pt;height:139.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" fillcolor="#d6dee3" stroked="f">
                <v:textbox>
                  <w:txbxContent>
                    <w:p w14:paraId="5A839DB4" w14:textId="4F02E131" w:rsidR="006F3AC6" w:rsidRPr="006A0F8B" w:rsidRDefault="006F3AC6" w:rsidP="001565E3">
                      <w:pPr>
                        <w:pStyle w:val="RDTier2"/>
                        <w:spacing w:before="0" w:after="60"/>
                        <w:ind w:left="0"/>
                        <w:rPr>
                          <w:sz w:val="24"/>
                        </w:rPr>
                      </w:pPr>
                      <w:r w:rsidRPr="006A0F8B">
                        <w:rPr>
                          <w:sz w:val="24"/>
                        </w:rPr>
                        <w:t>Implications for the Royal Docks Economic Purpose</w:t>
                      </w:r>
                    </w:p>
                    <w:p w14:paraId="21787850" w14:textId="50069FF5" w:rsidR="006F3AC6" w:rsidRDefault="006F3AC6" w:rsidP="001565E3">
                      <w:pPr>
                        <w:pStyle w:val="Heading5"/>
                        <w:spacing w:before="60"/>
                        <w:ind w:right="198"/>
                        <w:rPr>
                          <w:rFonts w:ascii="Source Sans Pro" w:hAnsi="Source Sans Pro"/>
                          <w:color w:val="052D3F"/>
                          <w:szCs w:val="22"/>
                        </w:rPr>
                      </w:pPr>
                      <w:r>
                        <w:rPr>
                          <w:rFonts w:ascii="Source Sans Pro" w:hAnsi="Source Sans Pro"/>
                          <w:color w:val="052D3F"/>
                          <w:szCs w:val="22"/>
                        </w:rPr>
                        <w:t xml:space="preserve">The Royal Docks economy has long been characterised as a place of industry and production and recent decades have also seen growth in local service and hospitality activities (partly linked to City airport and Excel). </w:t>
                      </w:r>
                    </w:p>
                    <w:p w14:paraId="1F7D5327" w14:textId="40A58547" w:rsidR="006F3AC6" w:rsidRPr="00F618D3" w:rsidRDefault="006F3AC6" w:rsidP="00173C89">
                      <w:pPr>
                        <w:pStyle w:val="Heading5"/>
                        <w:ind w:right="198"/>
                        <w:rPr>
                          <w:rFonts w:ascii="Source Sans Pro" w:eastAsia="+mn-ea" w:hAnsi="Source Sans Pro" w:cs="+mn-cs"/>
                          <w:color w:val="425563"/>
                          <w:kern w:val="24"/>
                          <w:szCs w:val="22"/>
                        </w:rPr>
                      </w:pPr>
                      <w:r>
                        <w:rPr>
                          <w:rFonts w:ascii="Source Sans Pro" w:hAnsi="Source Sans Pro"/>
                          <w:color w:val="052D3F"/>
                          <w:szCs w:val="22"/>
                        </w:rPr>
                        <w:t xml:space="preserve">Despite recent growth, the area lacks economic critical mass and density, particularly within more ‘knowledge intensive’ sectors and activities. The development of a more balanced and productive economy will be important in ensuring that future growth reflects evolving demand within London and nationally, and in helping to build long term economic resilience. </w:t>
                      </w:r>
                    </w:p>
                  </w:txbxContent>
                </v:textbox>
                <w10:wrap type="tight" anchorx="margin"/>
              </v:shape>
            </w:pict>
          </mc:Fallback>
        </mc:AlternateContent>
      </w:r>
    </w:p>
    <w:p w14:paraId="1E602974" w14:textId="5F5B916A" w:rsidR="00220E65" w:rsidRDefault="008041F6" w:rsidP="0056155D">
      <w:pPr>
        <w:pStyle w:val="RDTier2"/>
        <w:numPr>
          <w:ilvl w:val="0"/>
          <w:numId w:val="28"/>
        </w:numPr>
      </w:pPr>
      <w:bookmarkStart w:id="13" w:name="_Toc20750095"/>
      <w:bookmarkStart w:id="14" w:name="_Toc20750208"/>
      <w:bookmarkStart w:id="15" w:name="_Toc20750262"/>
      <w:r>
        <w:lastRenderedPageBreak/>
        <w:t xml:space="preserve">The </w:t>
      </w:r>
      <w:r w:rsidR="00220E65">
        <w:t>Royal Docks Community</w:t>
      </w:r>
    </w:p>
    <w:p w14:paraId="295D5D54" w14:textId="2FDF2B31" w:rsidR="00B8297C" w:rsidRDefault="006A0F8B" w:rsidP="00B8297C">
      <w:pPr>
        <w:pStyle w:val="RDParagraph"/>
      </w:pPr>
      <w:r>
        <w:t>The</w:t>
      </w:r>
      <w:r w:rsidR="009F70DD">
        <w:t xml:space="preserve"> Royal Docks is home to </w:t>
      </w:r>
      <w:r w:rsidR="0092482D">
        <w:t xml:space="preserve">80,000 people, </w:t>
      </w:r>
      <w:r w:rsidR="00680D5E">
        <w:t>just under a quarter of the Newham population.</w:t>
      </w:r>
      <w:r w:rsidR="007B6489">
        <w:t xml:space="preserve"> </w:t>
      </w:r>
    </w:p>
    <w:p w14:paraId="2DDD4760" w14:textId="68C01D12" w:rsidR="0071625E" w:rsidRDefault="0071625E" w:rsidP="0071625E">
      <w:pPr>
        <w:pStyle w:val="RDParagraph"/>
      </w:pPr>
      <w:r>
        <w:t>The area comprises a number of long</w:t>
      </w:r>
      <w:r w:rsidR="00385000">
        <w:t>-</w:t>
      </w:r>
      <w:r>
        <w:t>standing residential communities (Canning Town, Custom House, Beckton and North Woolwich)</w:t>
      </w:r>
      <w:r w:rsidR="006109B3">
        <w:t>. T</w:t>
      </w:r>
      <w:r w:rsidR="004E328E">
        <w:t>hese neighbourhoods</w:t>
      </w:r>
      <w:r w:rsidR="008D508C">
        <w:t xml:space="preserve"> </w:t>
      </w:r>
      <w:r w:rsidR="00710DA4">
        <w:t xml:space="preserve">are centred around existing high streets / town centres and act as the focal point for the current amenity offer across the Royal Docks. </w:t>
      </w:r>
      <w:r w:rsidR="00FB438B">
        <w:t>In addition,</w:t>
      </w:r>
      <w:r w:rsidR="00E5649A">
        <w:t xml:space="preserve"> the area is also home to a number of </w:t>
      </w:r>
      <w:r w:rsidR="0019646E">
        <w:t>newly established re</w:t>
      </w:r>
      <w:r>
        <w:t xml:space="preserve">sidential communities (such as at Thames Barrier Park and Britannia Village), and </w:t>
      </w:r>
      <w:r w:rsidR="0019646E">
        <w:t xml:space="preserve">still </w:t>
      </w:r>
      <w:r w:rsidR="00E5649A">
        <w:t>emerging residential communities</w:t>
      </w:r>
      <w:r>
        <w:t xml:space="preserve"> (such as at Royal Wharf and Barrier Gardens East).  </w:t>
      </w:r>
      <w:r w:rsidR="002B150D">
        <w:t xml:space="preserve">The </w:t>
      </w:r>
      <w:r w:rsidR="00E5649A">
        <w:t>amenity offering</w:t>
      </w:r>
      <w:r w:rsidR="001365F1">
        <w:t xml:space="preserve"> within these newer centres is generally less conce</w:t>
      </w:r>
      <w:r w:rsidR="001C1677">
        <w:t xml:space="preserve">ntrated. </w:t>
      </w:r>
    </w:p>
    <w:p w14:paraId="16D33FF1" w14:textId="38DF16C1" w:rsidR="00B8297C" w:rsidRDefault="00B8297C" w:rsidP="00B8297C">
      <w:pPr>
        <w:pStyle w:val="RDParagraph"/>
      </w:pPr>
      <w:r>
        <w:t xml:space="preserve">The population has grown rapidly over the past decade, </w:t>
      </w:r>
      <w:r w:rsidR="0071625E">
        <w:t xml:space="preserve">reflecting the delivery progress already made within a number of the </w:t>
      </w:r>
      <w:r w:rsidR="00E5649A">
        <w:t>Royal Docks’</w:t>
      </w:r>
      <w:r w:rsidR="0071625E">
        <w:t xml:space="preserve"> </w:t>
      </w:r>
      <w:r w:rsidR="00D517D8">
        <w:t>identified growth locations</w:t>
      </w:r>
      <w:r w:rsidR="002A0412">
        <w:t xml:space="preserve">, </w:t>
      </w:r>
      <w:r w:rsidR="0071625E">
        <w:t xml:space="preserve">most notably at Canning Town and </w:t>
      </w:r>
      <w:r w:rsidR="00D517D8">
        <w:t>Royal Wharf.</w:t>
      </w:r>
    </w:p>
    <w:p w14:paraId="129818CC" w14:textId="77777777" w:rsidR="005A358D" w:rsidRPr="00DA00AD" w:rsidRDefault="005A358D" w:rsidP="00A722E2">
      <w:pPr>
        <w:pStyle w:val="KeyMessBullet1Land"/>
        <w:framePr w:w="3858" w:h="3633" w:hRule="exact" w:wrap="around" w:hAnchor="page" w:x="6437" w:y="1294"/>
        <w:numPr>
          <w:ilvl w:val="0"/>
          <w:numId w:val="0"/>
        </w:numPr>
        <w:ind w:left="567" w:hanging="340"/>
        <w:rPr>
          <w:b/>
          <w:color w:val="FF5000" w:themeColor="accent6"/>
          <w:sz w:val="22"/>
          <w:lang w:val="en-US"/>
        </w:rPr>
      </w:pPr>
      <w:r w:rsidRPr="00DA00AD">
        <w:rPr>
          <w:b/>
          <w:color w:val="FF5000" w:themeColor="accent6"/>
          <w:sz w:val="22"/>
          <w:lang w:val="en-US"/>
        </w:rPr>
        <w:t>Current Position: At a Glance</w:t>
      </w:r>
    </w:p>
    <w:p w14:paraId="6FFC066D" w14:textId="09FFAF43" w:rsidR="005A358D" w:rsidRPr="00346014" w:rsidRDefault="00B06B07" w:rsidP="0056155D">
      <w:pPr>
        <w:pStyle w:val="RDBoxnumber"/>
        <w:framePr w:w="3858" w:h="3633" w:hRule="exact" w:wrap="around" w:vAnchor="text" w:x="6437" w:y="1294"/>
        <w:numPr>
          <w:ilvl w:val="0"/>
          <w:numId w:val="31"/>
        </w:numPr>
        <w:rPr>
          <w:color w:val="FF5000" w:themeColor="accent6"/>
          <w:sz w:val="20"/>
          <w:lang w:val="en-US"/>
        </w:rPr>
      </w:pPr>
      <w:r>
        <w:rPr>
          <w:color w:val="FF5000" w:themeColor="accent6"/>
          <w:sz w:val="20"/>
        </w:rPr>
        <w:t>Po</w:t>
      </w:r>
      <w:r w:rsidR="005A358D">
        <w:rPr>
          <w:color w:val="FF5000" w:themeColor="accent6"/>
          <w:sz w:val="20"/>
        </w:rPr>
        <w:t>pulation of 80,000 people</w:t>
      </w:r>
    </w:p>
    <w:p w14:paraId="57527ED8" w14:textId="4EDB8CD5" w:rsidR="001E01E3" w:rsidRDefault="001E01E3" w:rsidP="0056155D">
      <w:pPr>
        <w:pStyle w:val="RDBoxnumber"/>
        <w:framePr w:w="3858" w:h="3633" w:hRule="exact" w:wrap="around" w:vAnchor="text" w:x="6437" w:y="1294"/>
        <w:numPr>
          <w:ilvl w:val="0"/>
          <w:numId w:val="31"/>
        </w:numPr>
        <w:rPr>
          <w:color w:val="FF5000" w:themeColor="accent6"/>
          <w:sz w:val="20"/>
          <w:lang w:val="en-US"/>
        </w:rPr>
      </w:pPr>
      <w:r>
        <w:rPr>
          <w:color w:val="FF5000" w:themeColor="accent6"/>
          <w:sz w:val="20"/>
          <w:lang w:val="en-US"/>
        </w:rPr>
        <w:t>15% turnover in the Newham population over the past year</w:t>
      </w:r>
    </w:p>
    <w:p w14:paraId="328F65E8" w14:textId="5B3D1775" w:rsidR="005A358D" w:rsidRPr="002A7784" w:rsidRDefault="00B06B07" w:rsidP="0056155D">
      <w:pPr>
        <w:pStyle w:val="RDBoxnumber"/>
        <w:framePr w:w="3858" w:h="3633" w:hRule="exact" w:wrap="around" w:vAnchor="text" w:x="6437" w:y="1294"/>
        <w:numPr>
          <w:ilvl w:val="0"/>
          <w:numId w:val="31"/>
        </w:numPr>
        <w:rPr>
          <w:color w:val="FF5000" w:themeColor="accent6"/>
          <w:sz w:val="20"/>
          <w:lang w:val="en-US"/>
        </w:rPr>
      </w:pPr>
      <w:r w:rsidRPr="002A7784">
        <w:rPr>
          <w:color w:val="FF5000" w:themeColor="accent6"/>
          <w:sz w:val="20"/>
          <w:lang w:val="en-US"/>
        </w:rPr>
        <w:t>U</w:t>
      </w:r>
      <w:r w:rsidR="005A358D" w:rsidRPr="002A7784">
        <w:rPr>
          <w:color w:val="FF5000" w:themeColor="accent6"/>
          <w:sz w:val="20"/>
          <w:lang w:val="en-US"/>
        </w:rPr>
        <w:t xml:space="preserve">nemployment rate in </w:t>
      </w:r>
      <w:r w:rsidR="000A7F77" w:rsidRPr="002A7784">
        <w:rPr>
          <w:color w:val="FF5000" w:themeColor="accent6"/>
          <w:sz w:val="20"/>
          <w:lang w:val="en-US"/>
        </w:rPr>
        <w:t>Newham</w:t>
      </w:r>
      <w:r w:rsidR="005A358D" w:rsidRPr="002A7784">
        <w:rPr>
          <w:color w:val="FF5000" w:themeColor="accent6"/>
          <w:sz w:val="20"/>
          <w:lang w:val="en-US"/>
        </w:rPr>
        <w:t xml:space="preserve"> of </w:t>
      </w:r>
      <w:r w:rsidR="00507543" w:rsidRPr="002A7784">
        <w:rPr>
          <w:color w:val="FF5000" w:themeColor="accent6"/>
          <w:sz w:val="20"/>
          <w:lang w:val="en-US"/>
        </w:rPr>
        <w:t>5%</w:t>
      </w:r>
      <w:r w:rsidR="005A358D" w:rsidRPr="002A7784">
        <w:rPr>
          <w:color w:val="FF5000" w:themeColor="accent6"/>
          <w:sz w:val="20"/>
          <w:lang w:val="en-US"/>
        </w:rPr>
        <w:t xml:space="preserve"> (</w:t>
      </w:r>
      <w:r w:rsidR="002E3E26">
        <w:rPr>
          <w:color w:val="FF5000" w:themeColor="accent6"/>
          <w:sz w:val="20"/>
          <w:lang w:val="en-US"/>
        </w:rPr>
        <w:t>on a par with L</w:t>
      </w:r>
      <w:r w:rsidR="005A358D" w:rsidRPr="002A7784">
        <w:rPr>
          <w:color w:val="FF5000" w:themeColor="accent6"/>
          <w:sz w:val="20"/>
          <w:lang w:val="en-US"/>
        </w:rPr>
        <w:t>ondon average)</w:t>
      </w:r>
    </w:p>
    <w:p w14:paraId="424534BF" w14:textId="62504F47" w:rsidR="005A358D" w:rsidRPr="002A7784" w:rsidRDefault="005D5726" w:rsidP="0056155D">
      <w:pPr>
        <w:pStyle w:val="RDBoxnumber"/>
        <w:framePr w:w="3858" w:h="3633" w:hRule="exact" w:wrap="around" w:vAnchor="text" w:x="6437" w:y="1294"/>
        <w:numPr>
          <w:ilvl w:val="0"/>
          <w:numId w:val="31"/>
        </w:numPr>
        <w:rPr>
          <w:color w:val="FF5000" w:themeColor="accent6"/>
          <w:sz w:val="20"/>
          <w:lang w:val="en-US"/>
        </w:rPr>
      </w:pPr>
      <w:r w:rsidRPr="002A7784">
        <w:rPr>
          <w:color w:val="FF5000" w:themeColor="accent6"/>
          <w:sz w:val="20"/>
          <w:lang w:val="en-US"/>
        </w:rPr>
        <w:t>A</w:t>
      </w:r>
      <w:r w:rsidR="005A358D" w:rsidRPr="002A7784">
        <w:rPr>
          <w:color w:val="FF5000" w:themeColor="accent6"/>
          <w:sz w:val="20"/>
          <w:lang w:val="en-US"/>
        </w:rPr>
        <w:t>verage household income of £3</w:t>
      </w:r>
      <w:r w:rsidR="00FA75A1">
        <w:rPr>
          <w:color w:val="FF5000" w:themeColor="accent6"/>
          <w:sz w:val="20"/>
          <w:lang w:val="en-US"/>
        </w:rPr>
        <w:t>1</w:t>
      </w:r>
      <w:r w:rsidR="005A358D" w:rsidRPr="002A7784">
        <w:rPr>
          <w:color w:val="FF5000" w:themeColor="accent6"/>
          <w:sz w:val="20"/>
          <w:lang w:val="en-US"/>
        </w:rPr>
        <w:t xml:space="preserve">,000 </w:t>
      </w:r>
      <w:r w:rsidR="00B06B07" w:rsidRPr="002A7784">
        <w:rPr>
          <w:color w:val="FF5000" w:themeColor="accent6"/>
          <w:sz w:val="20"/>
          <w:lang w:val="en-US"/>
        </w:rPr>
        <w:t>(</w:t>
      </w:r>
      <w:r w:rsidR="005A358D" w:rsidRPr="002A7784">
        <w:rPr>
          <w:color w:val="FF5000" w:themeColor="accent6"/>
          <w:sz w:val="20"/>
          <w:lang w:val="en-US"/>
        </w:rPr>
        <w:t>£</w:t>
      </w:r>
      <w:r w:rsidR="00FA75A1">
        <w:rPr>
          <w:color w:val="FF5000" w:themeColor="accent6"/>
          <w:sz w:val="20"/>
          <w:lang w:val="en-US"/>
        </w:rPr>
        <w:t>36</w:t>
      </w:r>
      <w:r w:rsidR="005A358D" w:rsidRPr="002A7784">
        <w:rPr>
          <w:color w:val="FF5000" w:themeColor="accent6"/>
          <w:sz w:val="20"/>
          <w:lang w:val="en-US"/>
        </w:rPr>
        <w:t>,000 across London</w:t>
      </w:r>
      <w:r w:rsidR="00B06B07" w:rsidRPr="002A7784">
        <w:rPr>
          <w:color w:val="FF5000" w:themeColor="accent6"/>
          <w:sz w:val="20"/>
          <w:lang w:val="en-US"/>
        </w:rPr>
        <w:t>)</w:t>
      </w:r>
    </w:p>
    <w:p w14:paraId="74055774" w14:textId="5A039EB4" w:rsidR="005A358D" w:rsidRPr="002A7784" w:rsidRDefault="0066000B" w:rsidP="0056155D">
      <w:pPr>
        <w:pStyle w:val="RDBoxnumber"/>
        <w:framePr w:w="3858" w:h="3633" w:hRule="exact" w:wrap="around" w:vAnchor="text" w:x="6437" w:y="1294"/>
        <w:numPr>
          <w:ilvl w:val="0"/>
          <w:numId w:val="31"/>
        </w:numPr>
        <w:rPr>
          <w:color w:val="FF5000" w:themeColor="accent6"/>
          <w:sz w:val="20"/>
          <w:lang w:val="en-US"/>
        </w:rPr>
      </w:pPr>
      <w:r w:rsidRPr="002A7784">
        <w:rPr>
          <w:color w:val="FF5000" w:themeColor="accent6"/>
          <w:sz w:val="20"/>
          <w:lang w:val="en-US"/>
        </w:rPr>
        <w:t>22</w:t>
      </w:r>
      <w:r w:rsidR="005A358D" w:rsidRPr="002A7784">
        <w:rPr>
          <w:color w:val="FF5000" w:themeColor="accent6"/>
          <w:sz w:val="20"/>
          <w:lang w:val="en-US"/>
        </w:rPr>
        <w:t>% of Royal Dock’s neighbourhoods with</w:t>
      </w:r>
      <w:r w:rsidR="005D5726" w:rsidRPr="002A7784">
        <w:rPr>
          <w:color w:val="FF5000" w:themeColor="accent6"/>
          <w:sz w:val="20"/>
          <w:lang w:val="en-US"/>
        </w:rPr>
        <w:t>in</w:t>
      </w:r>
      <w:r w:rsidR="005A358D" w:rsidRPr="002A7784">
        <w:rPr>
          <w:color w:val="FF5000" w:themeColor="accent6"/>
          <w:sz w:val="20"/>
          <w:lang w:val="en-US"/>
        </w:rPr>
        <w:t xml:space="preserve"> 10% most deprived nationally</w:t>
      </w:r>
      <w:r w:rsidR="00B06B07" w:rsidRPr="002A7784">
        <w:rPr>
          <w:color w:val="FF5000" w:themeColor="accent6"/>
          <w:sz w:val="20"/>
          <w:lang w:val="en-US"/>
        </w:rPr>
        <w:t>.</w:t>
      </w:r>
    </w:p>
    <w:p w14:paraId="2F520EDC" w14:textId="00A6807D" w:rsidR="0092482D" w:rsidRDefault="007B5A08" w:rsidP="00220E65">
      <w:pPr>
        <w:pStyle w:val="RDParagraph"/>
        <w:rPr>
          <w:lang w:val="en-US"/>
        </w:rPr>
      </w:pPr>
      <w:r>
        <w:rPr>
          <w:lang w:val="en-US"/>
        </w:rPr>
        <w:t>The Royal Docks is home to a diverse and relatively young p</w:t>
      </w:r>
      <w:r w:rsidR="004C7F12">
        <w:rPr>
          <w:lang w:val="en-US"/>
        </w:rPr>
        <w:t>opulation</w:t>
      </w:r>
      <w:r w:rsidR="001D374D">
        <w:rPr>
          <w:lang w:val="en-US"/>
        </w:rPr>
        <w:t xml:space="preserve"> and is characterized by a relatively high level of ‘</w:t>
      </w:r>
      <w:r w:rsidR="002D06A9">
        <w:rPr>
          <w:lang w:val="en-US"/>
        </w:rPr>
        <w:t>transience</w:t>
      </w:r>
      <w:r w:rsidR="001D374D">
        <w:rPr>
          <w:lang w:val="en-US"/>
        </w:rPr>
        <w:t xml:space="preserve">’. </w:t>
      </w:r>
      <w:r w:rsidR="009A0B35">
        <w:rPr>
          <w:lang w:val="en-US"/>
        </w:rPr>
        <w:t>N</w:t>
      </w:r>
      <w:r w:rsidR="00F654E2">
        <w:rPr>
          <w:lang w:val="en-US"/>
        </w:rPr>
        <w:t xml:space="preserve">early half of all residents were born outside the UK, </w:t>
      </w:r>
      <w:r w:rsidR="002474CC">
        <w:rPr>
          <w:lang w:val="en-US"/>
        </w:rPr>
        <w:t>a third of residents don’t have English as a first language</w:t>
      </w:r>
      <w:r w:rsidR="00486330">
        <w:rPr>
          <w:lang w:val="en-US"/>
        </w:rPr>
        <w:t>, and an estimated</w:t>
      </w:r>
      <w:r w:rsidR="000A49B7">
        <w:rPr>
          <w:lang w:val="en-US"/>
        </w:rPr>
        <w:t xml:space="preserve"> 15% of the Newham population changed over the past year.</w:t>
      </w:r>
    </w:p>
    <w:p w14:paraId="24C43186" w14:textId="77777777" w:rsidR="00F43E70" w:rsidRDefault="00F43E70" w:rsidP="00220E65">
      <w:pPr>
        <w:pStyle w:val="RDParagraph"/>
        <w:rPr>
          <w:lang w:val="en-US"/>
        </w:rPr>
      </w:pPr>
      <w:r>
        <w:rPr>
          <w:lang w:val="en-US"/>
        </w:rPr>
        <w:t>While t</w:t>
      </w:r>
      <w:r w:rsidR="00722F2B">
        <w:rPr>
          <w:lang w:val="en-US"/>
        </w:rPr>
        <w:t>h</w:t>
      </w:r>
      <w:r w:rsidR="00564D66">
        <w:rPr>
          <w:lang w:val="en-US"/>
        </w:rPr>
        <w:t>ere is considerable talent within the local population</w:t>
      </w:r>
      <w:r w:rsidR="00587C43">
        <w:rPr>
          <w:lang w:val="en-US"/>
        </w:rPr>
        <w:t xml:space="preserve"> and levels of economic participation have increased over the past decade, levels of worklessness and relative </w:t>
      </w:r>
      <w:r w:rsidR="00587C43" w:rsidRPr="00FA75A1">
        <w:rPr>
          <w:lang w:val="en-US"/>
        </w:rPr>
        <w:t>eco</w:t>
      </w:r>
      <w:r w:rsidR="00722F2B">
        <w:rPr>
          <w:lang w:val="en-US"/>
        </w:rPr>
        <w:t>no</w:t>
      </w:r>
      <w:r w:rsidR="00587C43" w:rsidRPr="00FA75A1">
        <w:rPr>
          <w:lang w:val="en-US"/>
        </w:rPr>
        <w:t xml:space="preserve">mic deprivation remain relatively high. </w:t>
      </w:r>
    </w:p>
    <w:p w14:paraId="0775EAF3" w14:textId="68561F1B" w:rsidR="00587C43" w:rsidRDefault="00F43E70" w:rsidP="00220E65">
      <w:pPr>
        <w:pStyle w:val="RDParagraph"/>
        <w:rPr>
          <w:lang w:val="en-US"/>
        </w:rPr>
      </w:pPr>
      <w:r>
        <w:rPr>
          <w:lang w:val="en-US"/>
        </w:rPr>
        <w:t>S</w:t>
      </w:r>
      <w:r w:rsidR="00F539D8">
        <w:rPr>
          <w:lang w:val="en-US"/>
        </w:rPr>
        <w:t xml:space="preserve">chool performance across the Borough has shown </w:t>
      </w:r>
      <w:r w:rsidR="005411C7">
        <w:rPr>
          <w:lang w:val="en-US"/>
        </w:rPr>
        <w:t xml:space="preserve">strong improvement in recent years, the proportion of residents with higher level (and degree level qualifications) remains below the London average. </w:t>
      </w:r>
      <w:r w:rsidR="0090105F" w:rsidRPr="00FA75A1">
        <w:rPr>
          <w:lang w:val="en-US"/>
        </w:rPr>
        <w:t xml:space="preserve">The average Newham household income </w:t>
      </w:r>
      <w:r w:rsidR="00C756C0" w:rsidRPr="00FA75A1">
        <w:rPr>
          <w:lang w:val="en-US"/>
        </w:rPr>
        <w:t xml:space="preserve">is only </w:t>
      </w:r>
      <w:r w:rsidR="00FA75A1" w:rsidRPr="00FA75A1">
        <w:rPr>
          <w:lang w:val="en-US"/>
        </w:rPr>
        <w:t>86% of</w:t>
      </w:r>
      <w:r w:rsidR="0090105F" w:rsidRPr="00FA75A1">
        <w:rPr>
          <w:lang w:val="en-US"/>
        </w:rPr>
        <w:t xml:space="preserve"> the London average,</w:t>
      </w:r>
      <w:r w:rsidR="0090105F">
        <w:rPr>
          <w:lang w:val="en-US"/>
        </w:rPr>
        <w:t xml:space="preserve"> and</w:t>
      </w:r>
      <w:r w:rsidR="001C7B39">
        <w:rPr>
          <w:lang w:val="en-US"/>
        </w:rPr>
        <w:t xml:space="preserve"> </w:t>
      </w:r>
      <w:r w:rsidR="006C0D66" w:rsidRPr="002A7784">
        <w:rPr>
          <w:lang w:val="en-US"/>
        </w:rPr>
        <w:t>22%</w:t>
      </w:r>
      <w:r w:rsidR="001C7B39" w:rsidRPr="002A7784">
        <w:rPr>
          <w:lang w:val="en-US"/>
        </w:rPr>
        <w:t xml:space="preserve"> of </w:t>
      </w:r>
      <w:r w:rsidR="00F92034" w:rsidRPr="002A7784">
        <w:rPr>
          <w:lang w:val="en-US"/>
        </w:rPr>
        <w:t>neighbourhoods with the Royal Docks are classified</w:t>
      </w:r>
      <w:r w:rsidR="00F92034">
        <w:rPr>
          <w:lang w:val="en-US"/>
        </w:rPr>
        <w:t xml:space="preserve"> as being within the 10% most deprived neighbourhoods nationally.</w:t>
      </w:r>
      <w:r w:rsidR="00900579">
        <w:rPr>
          <w:lang w:val="en-US"/>
        </w:rPr>
        <w:t xml:space="preserve"> Across Newham, levels of </w:t>
      </w:r>
      <w:r w:rsidR="00B718E9">
        <w:rPr>
          <w:lang w:val="en-US"/>
        </w:rPr>
        <w:t>civic</w:t>
      </w:r>
      <w:r w:rsidR="00900579">
        <w:rPr>
          <w:lang w:val="en-US"/>
        </w:rPr>
        <w:t xml:space="preserve"> participation are comparatively </w:t>
      </w:r>
      <w:r w:rsidR="00621682">
        <w:rPr>
          <w:lang w:val="en-US"/>
        </w:rPr>
        <w:t>weak</w:t>
      </w:r>
      <w:r w:rsidR="00900579">
        <w:rPr>
          <w:lang w:val="en-US"/>
        </w:rPr>
        <w:t xml:space="preserve">: with </w:t>
      </w:r>
      <w:r w:rsidR="00B718E9">
        <w:rPr>
          <w:lang w:val="en-US"/>
        </w:rPr>
        <w:t xml:space="preserve">some of the lowest volunteering levels across London, and </w:t>
      </w:r>
      <w:r w:rsidR="00621682">
        <w:rPr>
          <w:lang w:val="en-US"/>
        </w:rPr>
        <w:t>low levels of residents registered to vote.</w:t>
      </w:r>
    </w:p>
    <w:p w14:paraId="6B34FCD0" w14:textId="0F8AB843" w:rsidR="00220E65" w:rsidRDefault="00957A92" w:rsidP="00D805D5">
      <w:pPr>
        <w:pStyle w:val="RDParagraph"/>
      </w:pPr>
      <w:r w:rsidRPr="008A12D6">
        <w:rPr>
          <w:rFonts w:eastAsiaTheme="minorHAnsi"/>
          <w:noProof/>
          <w:szCs w:val="20"/>
        </w:rPr>
        <mc:AlternateContent>
          <mc:Choice Requires="wps">
            <w:drawing>
              <wp:anchor distT="0" distB="0" distL="114300" distR="114300" simplePos="0" relativeHeight="251658242" behindDoc="1" locked="0" layoutInCell="1" allowOverlap="1" wp14:anchorId="6AD3B211" wp14:editId="34D2C95B">
                <wp:simplePos x="0" y="0"/>
                <wp:positionH relativeFrom="margin">
                  <wp:posOffset>421005</wp:posOffset>
                </wp:positionH>
                <wp:positionV relativeFrom="paragraph">
                  <wp:posOffset>786765</wp:posOffset>
                </wp:positionV>
                <wp:extent cx="5506720" cy="1774190"/>
                <wp:effectExtent l="0" t="0" r="0" b="0"/>
                <wp:wrapTight wrapText="bothSides">
                  <wp:wrapPolygon edited="0">
                    <wp:start x="0" y="0"/>
                    <wp:lineTo x="0" y="21337"/>
                    <wp:lineTo x="21520" y="21337"/>
                    <wp:lineTo x="21520" y="0"/>
                    <wp:lineTo x="0" y="0"/>
                  </wp:wrapPolygon>
                </wp:wrapTight>
                <wp:docPr id="321" name="TextBox 6"/>
                <wp:cNvGraphicFramePr/>
                <a:graphic xmlns:a="http://schemas.openxmlformats.org/drawingml/2006/main">
                  <a:graphicData uri="http://schemas.microsoft.com/office/word/2010/wordprocessingShape">
                    <wps:wsp>
                      <wps:cNvSpPr txBox="1"/>
                      <wps:spPr>
                        <a:xfrm>
                          <a:off x="0" y="0"/>
                          <a:ext cx="5506720" cy="1774190"/>
                        </a:xfrm>
                        <a:prstGeom prst="rect">
                          <a:avLst/>
                        </a:prstGeom>
                        <a:solidFill>
                          <a:srgbClr val="D6DEE3"/>
                        </a:solidFill>
                      </wps:spPr>
                      <wps:txbx>
                        <w:txbxContent>
                          <w:p w14:paraId="69CFC4F8" w14:textId="77777777" w:rsidR="006F3AC6" w:rsidRPr="007923DC" w:rsidRDefault="006F3AC6" w:rsidP="008E2F86">
                            <w:pPr>
                              <w:pStyle w:val="RDTier2"/>
                              <w:spacing w:before="0" w:after="60"/>
                              <w:ind w:left="0"/>
                              <w:rPr>
                                <w:sz w:val="24"/>
                              </w:rPr>
                            </w:pPr>
                            <w:r w:rsidRPr="007923DC">
                              <w:rPr>
                                <w:sz w:val="24"/>
                              </w:rPr>
                              <w:t>Implications for the Royal Docks Economic Purpose</w:t>
                            </w:r>
                          </w:p>
                          <w:p w14:paraId="1E5D2D1B" w14:textId="16AF809D" w:rsidR="006F3AC6" w:rsidRDefault="006F3AC6" w:rsidP="007923DC">
                            <w:pPr>
                              <w:pStyle w:val="Heading5"/>
                              <w:spacing w:before="60" w:after="60"/>
                              <w:ind w:right="198"/>
                              <w:rPr>
                                <w:rFonts w:ascii="Source Sans Pro" w:hAnsi="Source Sans Pro"/>
                                <w:color w:val="052D3F"/>
                                <w:szCs w:val="22"/>
                              </w:rPr>
                            </w:pPr>
                            <w:r>
                              <w:rPr>
                                <w:rFonts w:ascii="Source Sans Pro" w:hAnsi="Source Sans Pro"/>
                                <w:color w:val="052D3F"/>
                                <w:szCs w:val="22"/>
                              </w:rPr>
                              <w:t>The diversity and talent of the local population is a considerable strength and opportunity for the Royal Docks. However, communities such as Canning Town, Custom House, Beckton and North Woolwich are also characterised by significant barriers which are constraining social participation and inclusion.</w:t>
                            </w:r>
                          </w:p>
                          <w:p w14:paraId="62C4438B" w14:textId="26DAEA27" w:rsidR="006F3AC6" w:rsidRPr="00F618D3" w:rsidRDefault="006F3AC6" w:rsidP="007923DC">
                            <w:pPr>
                              <w:pStyle w:val="Heading5"/>
                              <w:spacing w:before="60" w:after="60"/>
                              <w:ind w:right="198"/>
                              <w:rPr>
                                <w:rFonts w:ascii="Source Sans Pro" w:eastAsia="+mn-ea" w:hAnsi="Source Sans Pro" w:cs="+mn-cs"/>
                                <w:color w:val="425563"/>
                                <w:kern w:val="24"/>
                                <w:szCs w:val="22"/>
                              </w:rPr>
                            </w:pPr>
                            <w:r>
                              <w:rPr>
                                <w:rFonts w:ascii="Source Sans Pro" w:hAnsi="Source Sans Pro"/>
                                <w:color w:val="052D3F"/>
                                <w:szCs w:val="22"/>
                              </w:rPr>
                              <w:t xml:space="preserve">The complexity of these challenges means that targeted and tailored action will be needed to respond: from the bottom up and from within. The success of the Royal Docks over the coming decades will to a large extent be judged on the extent to which local communities access the benefits of growth and secure a tangible uplift in prosperity and inclusion.      </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6AD3B211" id="_x0000_s1029" type="#_x0000_t202" style="position:absolute;left:0;text-align:left;margin-left:33.15pt;margin-top:61.95pt;width:433.6pt;height:139.7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" fillcolor="#d6dee3" stroked="f">
                <v:textbox>
                  <w:txbxContent>
                    <w:p w14:paraId="69CFC4F8" w14:textId="77777777" w:rsidR="006F3AC6" w:rsidRPr="007923DC" w:rsidRDefault="006F3AC6" w:rsidP="008E2F86">
                      <w:pPr>
                        <w:pStyle w:val="RDTier2"/>
                        <w:spacing w:before="0" w:after="60"/>
                        <w:ind w:left="0"/>
                        <w:rPr>
                          <w:sz w:val="24"/>
                        </w:rPr>
                      </w:pPr>
                      <w:r w:rsidRPr="007923DC">
                        <w:rPr>
                          <w:sz w:val="24"/>
                        </w:rPr>
                        <w:t>Implications for the Royal Docks Economic Purpose</w:t>
                      </w:r>
                    </w:p>
                    <w:p w14:paraId="1E5D2D1B" w14:textId="16AF809D" w:rsidR="006F3AC6" w:rsidRDefault="006F3AC6" w:rsidP="007923DC">
                      <w:pPr>
                        <w:pStyle w:val="Heading5"/>
                        <w:spacing w:before="60" w:after="60"/>
                        <w:ind w:right="198"/>
                        <w:rPr>
                          <w:rFonts w:ascii="Source Sans Pro" w:hAnsi="Source Sans Pro"/>
                          <w:color w:val="052D3F"/>
                          <w:szCs w:val="22"/>
                        </w:rPr>
                      </w:pPr>
                      <w:r>
                        <w:rPr>
                          <w:rFonts w:ascii="Source Sans Pro" w:hAnsi="Source Sans Pro"/>
                          <w:color w:val="052D3F"/>
                          <w:szCs w:val="22"/>
                        </w:rPr>
                        <w:t>The diversity and talent of the local population is a considerable strength and opportunity for the Royal Docks. However, communities such as Canning Town, Custom House, Beckton and North Woolwich are also characterised by significant barriers which are constraining social participation and inclusion.</w:t>
                      </w:r>
                    </w:p>
                    <w:p w14:paraId="62C4438B" w14:textId="26DAEA27" w:rsidR="006F3AC6" w:rsidRPr="00F618D3" w:rsidRDefault="006F3AC6" w:rsidP="007923DC">
                      <w:pPr>
                        <w:pStyle w:val="Heading5"/>
                        <w:spacing w:before="60" w:after="60"/>
                        <w:ind w:right="198"/>
                        <w:rPr>
                          <w:rFonts w:ascii="Source Sans Pro" w:eastAsia="+mn-ea" w:hAnsi="Source Sans Pro" w:cs="+mn-cs"/>
                          <w:color w:val="425563"/>
                          <w:kern w:val="24"/>
                          <w:szCs w:val="22"/>
                        </w:rPr>
                      </w:pPr>
                      <w:r>
                        <w:rPr>
                          <w:rFonts w:ascii="Source Sans Pro" w:hAnsi="Source Sans Pro"/>
                          <w:color w:val="052D3F"/>
                          <w:szCs w:val="22"/>
                        </w:rPr>
                        <w:t xml:space="preserve">The complexity of these challenges means that targeted and tailored action will be needed to respond: from the bottom up and from within. The success of the Royal Docks over the coming decades will to a large extent be judged on the extent to which local communities access the benefits of growth and secure a tangible uplift in prosperity and inclusion.      </w:t>
                      </w:r>
                    </w:p>
                  </w:txbxContent>
                </v:textbox>
                <w10:wrap type="tight" anchorx="margin"/>
              </v:shape>
            </w:pict>
          </mc:Fallback>
        </mc:AlternateContent>
      </w:r>
      <w:r w:rsidR="00A949C0">
        <w:t>D</w:t>
      </w:r>
      <w:r w:rsidR="00D805D5">
        <w:t xml:space="preserve">espite the overall improvements in connections between the Royal Docks and London </w:t>
      </w:r>
      <w:r w:rsidR="00226E79">
        <w:t>over</w:t>
      </w:r>
      <w:r w:rsidR="00D805D5">
        <w:t xml:space="preserve"> the past two decade</w:t>
      </w:r>
      <w:r w:rsidR="00A949C0">
        <w:t>s</w:t>
      </w:r>
      <w:r w:rsidR="00D805D5">
        <w:t xml:space="preserve">, </w:t>
      </w:r>
      <w:r w:rsidR="00DB1938">
        <w:t xml:space="preserve">barriers still exist in </w:t>
      </w:r>
      <w:r w:rsidR="00AE56ED">
        <w:t xml:space="preserve">local </w:t>
      </w:r>
      <w:r w:rsidR="00DB1938">
        <w:t>connectivity</w:t>
      </w:r>
      <w:r w:rsidR="00AE56ED">
        <w:t xml:space="preserve">. This </w:t>
      </w:r>
      <w:r w:rsidR="00DB437F">
        <w:t xml:space="preserve">is particularly the case in terms of </w:t>
      </w:r>
      <w:r w:rsidR="00DB1938">
        <w:t xml:space="preserve">north to south </w:t>
      </w:r>
      <w:r w:rsidR="00DB437F">
        <w:t xml:space="preserve">connections </w:t>
      </w:r>
      <w:r w:rsidR="00DB1938">
        <w:t>from the Royal Docks to the rest of Newham, and for communities in North Woolwich and Beckton which remain comparatively isolated</w:t>
      </w:r>
      <w:r w:rsidR="000A49B7">
        <w:t>.</w:t>
      </w:r>
      <w:r w:rsidR="00220E65">
        <w:br w:type="page"/>
      </w:r>
    </w:p>
    <w:p w14:paraId="56444D95" w14:textId="4A360ACE" w:rsidR="00220E65" w:rsidRDefault="00220E65" w:rsidP="0056155D">
      <w:pPr>
        <w:pStyle w:val="RDTier2"/>
        <w:numPr>
          <w:ilvl w:val="0"/>
          <w:numId w:val="28"/>
        </w:numPr>
      </w:pPr>
      <w:r>
        <w:lastRenderedPageBreak/>
        <w:t>Royal Docks Assets and Anchors</w:t>
      </w:r>
    </w:p>
    <w:p w14:paraId="63156D7C" w14:textId="0620254B" w:rsidR="00220E65" w:rsidRDefault="005C0D35" w:rsidP="00220E65">
      <w:pPr>
        <w:pStyle w:val="RDParagraph"/>
      </w:pPr>
      <w:r>
        <w:t xml:space="preserve">As </w:t>
      </w:r>
      <w:r w:rsidR="00B21794">
        <w:t>highlighted previously</w:t>
      </w:r>
      <w:r>
        <w:t>, the</w:t>
      </w:r>
      <w:r w:rsidR="00D231DB">
        <w:t xml:space="preserve"> Royal Dock</w:t>
      </w:r>
      <w:r>
        <w:t>’</w:t>
      </w:r>
      <w:r w:rsidR="00D231DB">
        <w:t>s</w:t>
      </w:r>
      <w:r>
        <w:t xml:space="preserve"> is home to a number of important economic assets and anchors which underpin the </w:t>
      </w:r>
      <w:r w:rsidR="006D0775">
        <w:t>local economy via the jobs they provide</w:t>
      </w:r>
      <w:r w:rsidR="00213D26">
        <w:t>, t</w:t>
      </w:r>
      <w:r w:rsidR="006D0775">
        <w:t xml:space="preserve">he </w:t>
      </w:r>
      <w:r w:rsidR="00213D26">
        <w:t xml:space="preserve">role they play in attracting visitors to the area, and the </w:t>
      </w:r>
      <w:r w:rsidR="00B21794">
        <w:t>role they play in projecting an image and identity of the Royal Docks to external markets (across London and the world).</w:t>
      </w:r>
    </w:p>
    <w:p w14:paraId="38BB21DA" w14:textId="4E3836EA" w:rsidR="00E62FFD" w:rsidRDefault="00914B2E" w:rsidP="00220E65">
      <w:pPr>
        <w:pStyle w:val="RDParagraph"/>
      </w:pPr>
      <w:r>
        <w:t xml:space="preserve">Several of these are arguably ‘city’ assets which </w:t>
      </w:r>
      <w:r w:rsidR="000D3BB6">
        <w:t xml:space="preserve">serve an important and </w:t>
      </w:r>
      <w:r w:rsidR="00C80EB2">
        <w:t>distinct</w:t>
      </w:r>
      <w:r w:rsidR="000D3BB6">
        <w:t xml:space="preserve"> role for London, over and </w:t>
      </w:r>
      <w:r w:rsidR="00C80EB2">
        <w:t>above their local footprint.</w:t>
      </w:r>
      <w:r w:rsidR="00E62FFD">
        <w:t xml:space="preserve"> These include:</w:t>
      </w:r>
    </w:p>
    <w:p w14:paraId="3C1865B7" w14:textId="77777777" w:rsidR="006127A7" w:rsidRDefault="006127A7" w:rsidP="006127A7">
      <w:pPr>
        <w:pStyle w:val="KeyMessBullet1Land"/>
        <w:framePr w:w="4522" w:h="2512" w:hRule="exact" w:wrap="around" w:hAnchor="page" w:x="5946" w:y="927"/>
        <w:numPr>
          <w:ilvl w:val="0"/>
          <w:numId w:val="0"/>
        </w:numPr>
        <w:ind w:left="227"/>
        <w:rPr>
          <w:b/>
          <w:sz w:val="22"/>
          <w:lang w:val="en-US"/>
        </w:rPr>
      </w:pPr>
      <w:r>
        <w:rPr>
          <w:b/>
          <w:sz w:val="22"/>
          <w:lang w:val="en-US"/>
        </w:rPr>
        <w:t>Asset ‘Embeddedness’: At A Glance</w:t>
      </w:r>
    </w:p>
    <w:p w14:paraId="0F02E198" w14:textId="77777777" w:rsidR="006127A7" w:rsidRDefault="006127A7" w:rsidP="006127A7">
      <w:pPr>
        <w:pStyle w:val="KeyMessBullet1Land"/>
        <w:framePr w:w="4522" w:h="2512" w:hRule="exact" w:wrap="around" w:hAnchor="page" w:x="5946" w:y="927"/>
        <w:rPr>
          <w:sz w:val="22"/>
          <w:lang w:val="en-US"/>
        </w:rPr>
      </w:pPr>
      <w:r>
        <w:rPr>
          <w:sz w:val="22"/>
          <w:lang w:val="en-US"/>
        </w:rPr>
        <w:t>City Airport – 64% of people working on site live in East London and 42% in Newham</w:t>
      </w:r>
    </w:p>
    <w:p w14:paraId="7C953BF6" w14:textId="77777777" w:rsidR="006127A7" w:rsidRPr="006127A7" w:rsidRDefault="006127A7" w:rsidP="006127A7">
      <w:pPr>
        <w:pStyle w:val="KeyMessBullet1Land"/>
        <w:framePr w:w="4522" w:h="2512" w:hRule="exact" w:wrap="around" w:hAnchor="page" w:x="5946" w:y="927"/>
        <w:rPr>
          <w:sz w:val="22"/>
          <w:lang w:val="en-US"/>
        </w:rPr>
      </w:pPr>
      <w:r w:rsidRPr="006127A7">
        <w:rPr>
          <w:sz w:val="22"/>
          <w:lang w:val="en-US"/>
        </w:rPr>
        <w:t>Tate and Lyle – 160 local residents employed, with average salaries £8,000 above Borough average</w:t>
      </w:r>
    </w:p>
    <w:p w14:paraId="5D9F8C5E" w14:textId="6B2C93D3" w:rsidR="00E62FFD" w:rsidRDefault="00E62FFD" w:rsidP="00796227">
      <w:pPr>
        <w:pStyle w:val="RDBullet"/>
      </w:pPr>
      <w:r w:rsidRPr="00405CD2">
        <w:rPr>
          <w:b/>
        </w:rPr>
        <w:t>City Airport:</w:t>
      </w:r>
      <w:r w:rsidR="00171D27">
        <w:t xml:space="preserve"> serving an important role for London in providing </w:t>
      </w:r>
      <w:r w:rsidR="00B177DF">
        <w:t xml:space="preserve">connections to many of </w:t>
      </w:r>
      <w:r w:rsidR="007E141A">
        <w:t xml:space="preserve">Europe’s leading business hubs. </w:t>
      </w:r>
      <w:r w:rsidR="00A51C06">
        <w:t xml:space="preserve">Over 4.5 million passengers pass through the airport every year, and </w:t>
      </w:r>
      <w:r w:rsidR="00796817">
        <w:t xml:space="preserve">it is </w:t>
      </w:r>
      <w:r w:rsidR="00F421E3">
        <w:t>a ke</w:t>
      </w:r>
      <w:r w:rsidR="00033B62">
        <w:t>y local employer with over 2,300 staff on site.</w:t>
      </w:r>
    </w:p>
    <w:p w14:paraId="121E614E" w14:textId="0C0BE48C" w:rsidR="00E62FFD" w:rsidRDefault="00E62FFD" w:rsidP="00796227">
      <w:pPr>
        <w:pStyle w:val="RDBullet"/>
      </w:pPr>
      <w:r w:rsidRPr="00405CD2">
        <w:rPr>
          <w:b/>
        </w:rPr>
        <w:t>Excel</w:t>
      </w:r>
      <w:r>
        <w:t xml:space="preserve">: </w:t>
      </w:r>
      <w:r w:rsidR="00A51C06">
        <w:t xml:space="preserve">now established as </w:t>
      </w:r>
      <w:r w:rsidR="00D94DE9">
        <w:t xml:space="preserve">London’s largest </w:t>
      </w:r>
      <w:r w:rsidR="00424FE1">
        <w:t xml:space="preserve">International Convention Centre, and estimated to support 25% of the city’s inbound business tourism. </w:t>
      </w:r>
    </w:p>
    <w:p w14:paraId="35F05E2C" w14:textId="46D4F28F" w:rsidR="00033B62" w:rsidRDefault="00033B62" w:rsidP="00033B62">
      <w:pPr>
        <w:pStyle w:val="RDBullet"/>
      </w:pPr>
      <w:r w:rsidRPr="00405CD2">
        <w:rPr>
          <w:b/>
        </w:rPr>
        <w:t>The University of East London</w:t>
      </w:r>
      <w:r w:rsidR="00FD18CE">
        <w:t xml:space="preserve">: </w:t>
      </w:r>
      <w:r w:rsidR="00BF7893">
        <w:t xml:space="preserve">an </w:t>
      </w:r>
      <w:r w:rsidR="00C55A4E">
        <w:t>institution</w:t>
      </w:r>
      <w:r w:rsidR="00FD18CE">
        <w:t xml:space="preserve"> embedded in the </w:t>
      </w:r>
      <w:r w:rsidR="00C55A4E">
        <w:t>Borough</w:t>
      </w:r>
      <w:r w:rsidR="00FD18CE">
        <w:t xml:space="preserve"> for over 100 years and which now </w:t>
      </w:r>
      <w:r w:rsidR="00C55A4E">
        <w:t>supports 19,000 students</w:t>
      </w:r>
      <w:r w:rsidR="005D3F19">
        <w:t xml:space="preserve">. </w:t>
      </w:r>
    </w:p>
    <w:p w14:paraId="6279FA51" w14:textId="380A8541" w:rsidR="00614AF6" w:rsidRDefault="00796227" w:rsidP="00E05E95">
      <w:pPr>
        <w:pStyle w:val="RDBullet"/>
        <w:numPr>
          <w:ilvl w:val="0"/>
          <w:numId w:val="0"/>
        </w:numPr>
        <w:ind w:left="680"/>
      </w:pPr>
      <w:r>
        <w:t xml:space="preserve">Alongside these ‘city’ assets, </w:t>
      </w:r>
      <w:r w:rsidR="00614AF6">
        <w:t xml:space="preserve">other locally important </w:t>
      </w:r>
      <w:r w:rsidR="00E05E95">
        <w:t xml:space="preserve">employment </w:t>
      </w:r>
      <w:r w:rsidR="005D3F19">
        <w:t>anchors</w:t>
      </w:r>
      <w:r w:rsidR="00614AF6">
        <w:t xml:space="preserve"> include</w:t>
      </w:r>
      <w:r w:rsidR="00E05E95">
        <w:t xml:space="preserve"> t</w:t>
      </w:r>
      <w:r w:rsidR="00E23B43">
        <w:t>he London Borough of Newham</w:t>
      </w:r>
      <w:r w:rsidR="00E05E95">
        <w:t xml:space="preserve"> (located </w:t>
      </w:r>
      <w:r w:rsidR="00B75F7A">
        <w:t>in</w:t>
      </w:r>
      <w:r w:rsidR="00E05E95">
        <w:t xml:space="preserve"> Dockside on Royal Albert Dock), and Tate and Lyle (a significant land owner across the North Woolwich area, and employing over 800 people in skilled and technical occupations). </w:t>
      </w:r>
    </w:p>
    <w:p w14:paraId="34749832" w14:textId="0DB4B652" w:rsidR="00067C89" w:rsidRDefault="00405CD2" w:rsidP="00163F2C">
      <w:pPr>
        <w:pStyle w:val="RDBullet"/>
        <w:numPr>
          <w:ilvl w:val="0"/>
          <w:numId w:val="0"/>
        </w:numPr>
        <w:ind w:left="680"/>
      </w:pPr>
      <w:r>
        <w:t xml:space="preserve">All five of these assets and anchors are active partners in the </w:t>
      </w:r>
      <w:r w:rsidR="00BB6472">
        <w:t>evolution</w:t>
      </w:r>
      <w:r>
        <w:t xml:space="preserve"> of the area and are playing an active role in the pursuit of </w:t>
      </w:r>
      <w:r w:rsidR="00BB6472">
        <w:t>social and community outcomes. City Airport</w:t>
      </w:r>
      <w:r w:rsidR="00067C89">
        <w:t xml:space="preserve"> for example </w:t>
      </w:r>
      <w:r w:rsidR="00163F2C">
        <w:t xml:space="preserve">has a bespoke programme which </w:t>
      </w:r>
      <w:r w:rsidR="00BF7893">
        <w:t xml:space="preserve">focuses on local employment and procurement and which provides tailored outreach and education to schools across the area. </w:t>
      </w:r>
    </w:p>
    <w:p w14:paraId="240A6662" w14:textId="2FF625BE" w:rsidR="00BF7893" w:rsidRDefault="00A71877" w:rsidP="00E23B43">
      <w:pPr>
        <w:pStyle w:val="RDBullet"/>
        <w:numPr>
          <w:ilvl w:val="0"/>
          <w:numId w:val="0"/>
        </w:numPr>
        <w:ind w:left="680"/>
      </w:pPr>
      <w:r w:rsidRPr="00B64EC7">
        <w:t xml:space="preserve">The Royal Docks is also home to a considerable physical asset, in the </w:t>
      </w:r>
      <w:r w:rsidR="00A01901" w:rsidRPr="00B64EC7">
        <w:t xml:space="preserve">body of water which </w:t>
      </w:r>
      <w:r w:rsidR="00D929BA" w:rsidRPr="00B64EC7">
        <w:t xml:space="preserve">makes up the Docks. Covering an </w:t>
      </w:r>
      <w:r w:rsidR="00B64EC7" w:rsidRPr="00B64EC7">
        <w:t>over 300</w:t>
      </w:r>
      <w:r w:rsidR="00D929BA" w:rsidRPr="00B64EC7">
        <w:t xml:space="preserve"> hectares, for the past 50 years this asset has been heavily underutilised, but </w:t>
      </w:r>
      <w:r w:rsidR="003714ED" w:rsidRPr="00B64EC7">
        <w:t xml:space="preserve">set within a densely </w:t>
      </w:r>
      <w:r w:rsidR="000921DD" w:rsidRPr="00B64EC7">
        <w:t xml:space="preserve">built and </w:t>
      </w:r>
      <w:r w:rsidR="003714ED" w:rsidRPr="00B64EC7">
        <w:t xml:space="preserve">populated environment </w:t>
      </w:r>
      <w:r w:rsidR="00D929BA" w:rsidRPr="00B64EC7">
        <w:t xml:space="preserve">offers significant space and potential </w:t>
      </w:r>
      <w:r w:rsidR="00A02B37" w:rsidRPr="00B64EC7">
        <w:t xml:space="preserve">both a recreation resource for local residents, and as a focal point for </w:t>
      </w:r>
      <w:r w:rsidR="003714ED" w:rsidRPr="00B64EC7">
        <w:t>the London</w:t>
      </w:r>
      <w:r w:rsidR="00A02B37" w:rsidRPr="00B64EC7">
        <w:t xml:space="preserve"> visitor </w:t>
      </w:r>
      <w:r w:rsidR="003714ED" w:rsidRPr="00B64EC7">
        <w:t>economy</w:t>
      </w:r>
      <w:r w:rsidR="00BF7893" w:rsidRPr="00B64EC7">
        <w:t>.</w:t>
      </w:r>
    </w:p>
    <w:p w14:paraId="09DF8CAE" w14:textId="1112B52E" w:rsidR="00BF7893" w:rsidRDefault="00B2731B" w:rsidP="00BF7893">
      <w:pPr>
        <w:pStyle w:val="Heading5"/>
      </w:pPr>
      <w:bookmarkStart w:id="16" w:name="_Toc19885870"/>
      <w:bookmarkStart w:id="17" w:name="_Toc20750210"/>
      <w:bookmarkStart w:id="18" w:name="_Toc20750264"/>
      <w:bookmarkEnd w:id="13"/>
      <w:bookmarkEnd w:id="14"/>
      <w:bookmarkEnd w:id="15"/>
      <w:r w:rsidRPr="008A12D6">
        <w:rPr>
          <w:rFonts w:eastAsiaTheme="minorHAnsi"/>
          <w:noProof/>
          <w:szCs w:val="20"/>
        </w:rPr>
        <mc:AlternateContent>
          <mc:Choice Requires="wps">
            <w:drawing>
              <wp:anchor distT="0" distB="0" distL="114300" distR="114300" simplePos="0" relativeHeight="251658243" behindDoc="1" locked="0" layoutInCell="1" allowOverlap="1" wp14:anchorId="03B9647F" wp14:editId="1682C9F0">
                <wp:simplePos x="0" y="0"/>
                <wp:positionH relativeFrom="margin">
                  <wp:posOffset>452120</wp:posOffset>
                </wp:positionH>
                <wp:positionV relativeFrom="paragraph">
                  <wp:posOffset>21590</wp:posOffset>
                </wp:positionV>
                <wp:extent cx="5506720" cy="2141855"/>
                <wp:effectExtent l="0" t="0" r="0" b="0"/>
                <wp:wrapSquare wrapText="bothSides"/>
                <wp:docPr id="330" name="TextBox 6"/>
                <wp:cNvGraphicFramePr/>
                <a:graphic xmlns:a="http://schemas.openxmlformats.org/drawingml/2006/main">
                  <a:graphicData uri="http://schemas.microsoft.com/office/word/2010/wordprocessingShape">
                    <wps:wsp>
                      <wps:cNvSpPr txBox="1"/>
                      <wps:spPr>
                        <a:xfrm>
                          <a:off x="0" y="0"/>
                          <a:ext cx="5506720" cy="2141855"/>
                        </a:xfrm>
                        <a:prstGeom prst="rect">
                          <a:avLst/>
                        </a:prstGeom>
                        <a:solidFill>
                          <a:srgbClr val="D6DEE3"/>
                        </a:solidFill>
                      </wps:spPr>
                      <wps:txbx>
                        <w:txbxContent>
                          <w:p w14:paraId="117312CA" w14:textId="77777777" w:rsidR="006F3AC6" w:rsidRPr="00CC2411" w:rsidRDefault="006F3AC6" w:rsidP="00BF7893">
                            <w:pPr>
                              <w:pStyle w:val="RDTier2"/>
                              <w:ind w:left="0"/>
                              <w:rPr>
                                <w:sz w:val="24"/>
                              </w:rPr>
                            </w:pPr>
                            <w:r w:rsidRPr="00CC2411">
                              <w:rPr>
                                <w:sz w:val="24"/>
                              </w:rPr>
                              <w:t>Implications for the Royal Docks Economic Purpose</w:t>
                            </w:r>
                          </w:p>
                          <w:p w14:paraId="06A49B10" w14:textId="477F3B51" w:rsidR="006F3AC6" w:rsidRDefault="006F3AC6" w:rsidP="00BF7893">
                            <w:pPr>
                              <w:pStyle w:val="Heading5"/>
                              <w:ind w:right="198"/>
                              <w:rPr>
                                <w:rFonts w:ascii="Source Sans Pro" w:hAnsi="Source Sans Pro"/>
                                <w:color w:val="052D3F"/>
                                <w:szCs w:val="22"/>
                              </w:rPr>
                            </w:pPr>
                            <w:r w:rsidRPr="007104BB">
                              <w:rPr>
                                <w:rFonts w:ascii="Source Sans Pro" w:hAnsi="Source Sans Pro"/>
                                <w:color w:val="052D3F"/>
                                <w:szCs w:val="22"/>
                              </w:rPr>
                              <w:t xml:space="preserve">The role of the Royal Docks’ </w:t>
                            </w:r>
                            <w:r>
                              <w:rPr>
                                <w:rFonts w:ascii="Source Sans Pro" w:hAnsi="Source Sans Pro"/>
                                <w:color w:val="052D3F"/>
                                <w:szCs w:val="22"/>
                              </w:rPr>
                              <w:t>economic</w:t>
                            </w:r>
                            <w:r w:rsidRPr="007104BB">
                              <w:rPr>
                                <w:rFonts w:ascii="Source Sans Pro" w:hAnsi="Source Sans Pro"/>
                                <w:color w:val="052D3F"/>
                                <w:szCs w:val="22"/>
                              </w:rPr>
                              <w:t xml:space="preserve"> </w:t>
                            </w:r>
                            <w:r>
                              <w:rPr>
                                <w:rFonts w:ascii="Source Sans Pro" w:hAnsi="Source Sans Pro"/>
                                <w:color w:val="052D3F"/>
                                <w:szCs w:val="22"/>
                              </w:rPr>
                              <w:t xml:space="preserve">assets and </w:t>
                            </w:r>
                            <w:r w:rsidRPr="007104BB">
                              <w:rPr>
                                <w:rFonts w:ascii="Source Sans Pro" w:hAnsi="Source Sans Pro"/>
                                <w:color w:val="052D3F"/>
                                <w:szCs w:val="22"/>
                              </w:rPr>
                              <w:t xml:space="preserve">anchors already extends beyond their direct economic footprint: they all play a significant role in influencing both the identity of the area, and all state a commitment to socially and environmentally responsible objectives. </w:t>
                            </w:r>
                            <w:r>
                              <w:rPr>
                                <w:rFonts w:ascii="Source Sans Pro" w:hAnsi="Source Sans Pro"/>
                                <w:color w:val="052D3F"/>
                                <w:szCs w:val="22"/>
                              </w:rPr>
                              <w:t xml:space="preserve"> </w:t>
                            </w:r>
                          </w:p>
                          <w:p w14:paraId="73DD79D2" w14:textId="37A466E7" w:rsidR="006F3AC6" w:rsidRDefault="006F3AC6" w:rsidP="00BF7893">
                            <w:pPr>
                              <w:pStyle w:val="Heading5"/>
                              <w:ind w:right="198"/>
                              <w:rPr>
                                <w:rFonts w:ascii="Source Sans Pro" w:hAnsi="Source Sans Pro"/>
                                <w:color w:val="052D3F"/>
                                <w:szCs w:val="22"/>
                              </w:rPr>
                            </w:pPr>
                            <w:r>
                              <w:rPr>
                                <w:rFonts w:ascii="Source Sans Pro" w:hAnsi="Source Sans Pro"/>
                                <w:color w:val="052D3F"/>
                                <w:szCs w:val="22"/>
                              </w:rPr>
                              <w:t>Given their spatial, economic and social footprint, these assets and anchors have an integral role to play in the evolution of the Royal Docks over the next two decades, acting as advocates for the area, as partners in delivery, as drivers of innovation and economic evolution, and as leaders in delivering tangible outcomes against the objectives of the Economic Purpose.</w:t>
                            </w:r>
                          </w:p>
                          <w:p w14:paraId="1297524C" w14:textId="77777777" w:rsidR="006F3AC6" w:rsidRPr="00382E2E" w:rsidRDefault="006F3AC6" w:rsidP="00BF7893">
                            <w:pPr>
                              <w:pStyle w:val="Heading5"/>
                              <w:ind w:right="198"/>
                              <w:rPr>
                                <w:rFonts w:ascii="Source Sans Pro" w:hAnsi="Source Sans Pro"/>
                                <w:color w:val="052D3F"/>
                                <w:szCs w:val="22"/>
                              </w:rPr>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3B9647F" id="_x0000_s1030" type="#_x0000_t202" style="position:absolute;left:0;text-align:left;margin-left:35.6pt;margin-top:1.7pt;width:433.6pt;height:168.6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" fillcolor="#d6dee3" stroked="f">
                <v:textbox>
                  <w:txbxContent>
                    <w:p w14:paraId="117312CA" w14:textId="77777777" w:rsidR="006F3AC6" w:rsidRPr="00CC2411" w:rsidRDefault="006F3AC6" w:rsidP="00BF7893">
                      <w:pPr>
                        <w:pStyle w:val="RDTier2"/>
                        <w:ind w:left="0"/>
                        <w:rPr>
                          <w:sz w:val="24"/>
                        </w:rPr>
                      </w:pPr>
                      <w:r w:rsidRPr="00CC2411">
                        <w:rPr>
                          <w:sz w:val="24"/>
                        </w:rPr>
                        <w:t>Implications for the Royal Docks Economic Purpose</w:t>
                      </w:r>
                    </w:p>
                    <w:p w14:paraId="06A49B10" w14:textId="477F3B51" w:rsidR="006F3AC6" w:rsidRDefault="006F3AC6" w:rsidP="00BF7893">
                      <w:pPr>
                        <w:pStyle w:val="Heading5"/>
                        <w:ind w:right="198"/>
                        <w:rPr>
                          <w:rFonts w:ascii="Source Sans Pro" w:hAnsi="Source Sans Pro"/>
                          <w:color w:val="052D3F"/>
                          <w:szCs w:val="22"/>
                        </w:rPr>
                      </w:pPr>
                      <w:r w:rsidRPr="007104BB">
                        <w:rPr>
                          <w:rFonts w:ascii="Source Sans Pro" w:hAnsi="Source Sans Pro"/>
                          <w:color w:val="052D3F"/>
                          <w:szCs w:val="22"/>
                        </w:rPr>
                        <w:t xml:space="preserve">The role of the Royal Docks’ </w:t>
                      </w:r>
                      <w:r>
                        <w:rPr>
                          <w:rFonts w:ascii="Source Sans Pro" w:hAnsi="Source Sans Pro"/>
                          <w:color w:val="052D3F"/>
                          <w:szCs w:val="22"/>
                        </w:rPr>
                        <w:t>economic</w:t>
                      </w:r>
                      <w:r w:rsidRPr="007104BB">
                        <w:rPr>
                          <w:rFonts w:ascii="Source Sans Pro" w:hAnsi="Source Sans Pro"/>
                          <w:color w:val="052D3F"/>
                          <w:szCs w:val="22"/>
                        </w:rPr>
                        <w:t xml:space="preserve"> </w:t>
                      </w:r>
                      <w:r>
                        <w:rPr>
                          <w:rFonts w:ascii="Source Sans Pro" w:hAnsi="Source Sans Pro"/>
                          <w:color w:val="052D3F"/>
                          <w:szCs w:val="22"/>
                        </w:rPr>
                        <w:t xml:space="preserve">assets and </w:t>
                      </w:r>
                      <w:r w:rsidRPr="007104BB">
                        <w:rPr>
                          <w:rFonts w:ascii="Source Sans Pro" w:hAnsi="Source Sans Pro"/>
                          <w:color w:val="052D3F"/>
                          <w:szCs w:val="22"/>
                        </w:rPr>
                        <w:t xml:space="preserve">anchors already extends beyond their direct economic footprint: they all play a significant role in influencing both the identity of the area, and all state a commitment to socially and environmentally responsible objectives. </w:t>
                      </w:r>
                      <w:r>
                        <w:rPr>
                          <w:rFonts w:ascii="Source Sans Pro" w:hAnsi="Source Sans Pro"/>
                          <w:color w:val="052D3F"/>
                          <w:szCs w:val="22"/>
                        </w:rPr>
                        <w:t xml:space="preserve"> </w:t>
                      </w:r>
                    </w:p>
                    <w:p w14:paraId="73DD79D2" w14:textId="37A466E7" w:rsidR="006F3AC6" w:rsidRDefault="006F3AC6" w:rsidP="00BF7893">
                      <w:pPr>
                        <w:pStyle w:val="Heading5"/>
                        <w:ind w:right="198"/>
                        <w:rPr>
                          <w:rFonts w:ascii="Source Sans Pro" w:hAnsi="Source Sans Pro"/>
                          <w:color w:val="052D3F"/>
                          <w:szCs w:val="22"/>
                        </w:rPr>
                      </w:pPr>
                      <w:r>
                        <w:rPr>
                          <w:rFonts w:ascii="Source Sans Pro" w:hAnsi="Source Sans Pro"/>
                          <w:color w:val="052D3F"/>
                          <w:szCs w:val="22"/>
                        </w:rPr>
                        <w:t>Given their spatial, economic and social footprint, these assets and anchors have an integral role to play in the evolution of the Royal Docks over the next two decades, acting as advocates for the area, as partners in delivery, as drivers of innovation and economic evolution, and as leaders in delivering tangible outcomes against the objectives of the Economic Purpose.</w:t>
                      </w:r>
                    </w:p>
                    <w:p w14:paraId="1297524C" w14:textId="77777777" w:rsidR="006F3AC6" w:rsidRPr="00382E2E" w:rsidRDefault="006F3AC6" w:rsidP="00BF7893">
                      <w:pPr>
                        <w:pStyle w:val="Heading5"/>
                        <w:ind w:right="198"/>
                        <w:rPr>
                          <w:rFonts w:ascii="Source Sans Pro" w:hAnsi="Source Sans Pro"/>
                          <w:color w:val="052D3F"/>
                          <w:szCs w:val="22"/>
                        </w:rPr>
                      </w:pPr>
                    </w:p>
                  </w:txbxContent>
                </v:textbox>
                <w10:wrap type="square" anchorx="margin"/>
              </v:shape>
            </w:pict>
          </mc:Fallback>
        </mc:AlternateContent>
      </w:r>
      <w:r w:rsidR="00BF7893">
        <w:br w:type="page"/>
      </w:r>
    </w:p>
    <w:p w14:paraId="3DE1AC02" w14:textId="0DD0E62D" w:rsidR="00F61727" w:rsidRPr="00DD60BA" w:rsidRDefault="00F61727" w:rsidP="002761BF">
      <w:pPr>
        <w:pStyle w:val="Heading1"/>
      </w:pPr>
      <w:bookmarkStart w:id="19" w:name="_Toc25937441"/>
      <w:r w:rsidRPr="00DD60BA">
        <w:lastRenderedPageBreak/>
        <w:t>Po</w:t>
      </w:r>
      <w:bookmarkEnd w:id="16"/>
      <w:bookmarkEnd w:id="17"/>
      <w:bookmarkEnd w:id="18"/>
      <w:r w:rsidR="000715A0">
        <w:t>sitioning the Royal Docks for Growth</w:t>
      </w:r>
      <w:bookmarkEnd w:id="19"/>
    </w:p>
    <w:p w14:paraId="5A7703DF" w14:textId="4B179FEF" w:rsidR="00E70DB4" w:rsidRDefault="00770614" w:rsidP="00E70DB4">
      <w:pPr>
        <w:pStyle w:val="RDIntroText"/>
      </w:pPr>
      <w:r>
        <w:t>There is capacity</w:t>
      </w:r>
      <w:r w:rsidR="00B50CB2">
        <w:t xml:space="preserve"> to </w:t>
      </w:r>
      <w:r w:rsidR="0012582B">
        <w:t>more than double</w:t>
      </w:r>
      <w:r w:rsidR="00A6508B">
        <w:t xml:space="preserve"> the</w:t>
      </w:r>
      <w:r w:rsidR="00B50CB2">
        <w:t xml:space="preserve"> </w:t>
      </w:r>
      <w:r w:rsidR="0012582B">
        <w:t>size of the Royal Docks economy</w:t>
      </w:r>
      <w:r w:rsidR="00FC2809">
        <w:t xml:space="preserve"> through the delivery of new homes and commercial space</w:t>
      </w:r>
      <w:r w:rsidR="00A6508B">
        <w:t xml:space="preserve">. </w:t>
      </w:r>
      <w:r w:rsidR="00295F2F">
        <w:t xml:space="preserve">To catalyse growth on this scale, and to do so in a way which </w:t>
      </w:r>
      <w:r w:rsidR="004172EC">
        <w:t>supports the</w:t>
      </w:r>
      <w:r w:rsidR="00F42305">
        <w:t xml:space="preserve"> evolution of</w:t>
      </w:r>
      <w:r w:rsidR="00295F2F">
        <w:t xml:space="preserve"> a balanced and resilient economy, will require </w:t>
      </w:r>
      <w:r w:rsidR="00E628CC">
        <w:t>a proactive approach and long</w:t>
      </w:r>
      <w:r w:rsidR="00F42305">
        <w:t>-</w:t>
      </w:r>
      <w:r w:rsidR="00E628CC">
        <w:t xml:space="preserve">term </w:t>
      </w:r>
      <w:r w:rsidR="00F42305">
        <w:t>commitment.</w:t>
      </w:r>
    </w:p>
    <w:p w14:paraId="7A1F75F5" w14:textId="77777777" w:rsidR="00F42305" w:rsidRDefault="00F42305" w:rsidP="00690AD5">
      <w:pPr>
        <w:pStyle w:val="RDTier2"/>
      </w:pPr>
      <w:r>
        <w:t>Headroom for Growth Within the Royal Docks</w:t>
      </w:r>
    </w:p>
    <w:p w14:paraId="5447D601" w14:textId="3AB0425E" w:rsidR="006511CB" w:rsidRDefault="006511CB" w:rsidP="004A379E">
      <w:pPr>
        <w:pStyle w:val="RDParagraph"/>
      </w:pPr>
      <w:r>
        <w:t xml:space="preserve">The Royal Dock’s and Beckton Riverside Opportunity Area is one of </w:t>
      </w:r>
      <w:r w:rsidR="00C86897">
        <w:t xml:space="preserve">the most important Opportunity Area’s identified within the Mayor’s draft new London Plan. </w:t>
      </w:r>
    </w:p>
    <w:p w14:paraId="77F6F504" w14:textId="2EC61605" w:rsidR="008D361C" w:rsidRDefault="008D361C" w:rsidP="002E6E60">
      <w:pPr>
        <w:pStyle w:val="KeyMessBullet1Land"/>
        <w:framePr w:w="5461" w:h="4623" w:hRule="exact" w:wrap="around" w:hAnchor="page" w:x="5007" w:y="675"/>
        <w:numPr>
          <w:ilvl w:val="0"/>
          <w:numId w:val="0"/>
        </w:numPr>
        <w:ind w:left="227"/>
        <w:rPr>
          <w:b/>
          <w:sz w:val="22"/>
          <w:lang w:val="en-US"/>
        </w:rPr>
      </w:pPr>
      <w:r w:rsidRPr="00ED2175">
        <w:rPr>
          <w:b/>
          <w:sz w:val="22"/>
          <w:lang w:val="en-US"/>
        </w:rPr>
        <w:t xml:space="preserve">Indicative </w:t>
      </w:r>
      <w:r w:rsidR="000E0939">
        <w:rPr>
          <w:b/>
          <w:sz w:val="22"/>
          <w:lang w:val="en-US"/>
        </w:rPr>
        <w:t>Growth</w:t>
      </w:r>
      <w:r w:rsidRPr="00ED2175">
        <w:rPr>
          <w:b/>
          <w:sz w:val="22"/>
          <w:lang w:val="en-US"/>
        </w:rPr>
        <w:t xml:space="preserve"> Capacity Across the Docks</w:t>
      </w:r>
    </w:p>
    <w:p w14:paraId="58228EAA" w14:textId="77777777" w:rsidR="008D361C" w:rsidRPr="00ED2175" w:rsidRDefault="008D361C" w:rsidP="002E6E60">
      <w:pPr>
        <w:pStyle w:val="KeyMessBullet1Land"/>
        <w:framePr w:w="5461" w:h="4623" w:hRule="exact" w:wrap="around" w:hAnchor="page" w:x="5007" w:y="675"/>
        <w:rPr>
          <w:sz w:val="22"/>
          <w:lang w:val="en-US"/>
        </w:rPr>
      </w:pPr>
      <w:r w:rsidRPr="00ED2175">
        <w:rPr>
          <w:sz w:val="22"/>
          <w:lang w:val="en-US"/>
        </w:rPr>
        <w:t>ABP – 800 homes and 16,000 jobs</w:t>
      </w:r>
    </w:p>
    <w:p w14:paraId="40C80578" w14:textId="77777777" w:rsidR="008D361C" w:rsidRPr="00ED2175" w:rsidRDefault="008D361C" w:rsidP="002E6E60">
      <w:pPr>
        <w:pStyle w:val="KeyMessBullet1Land"/>
        <w:framePr w:w="5461" w:h="4623" w:hRule="exact" w:wrap="around" w:hAnchor="page" w:x="5007" w:y="675"/>
        <w:rPr>
          <w:sz w:val="22"/>
          <w:lang w:val="en-US"/>
        </w:rPr>
      </w:pPr>
      <w:r w:rsidRPr="00ED2175">
        <w:rPr>
          <w:sz w:val="22"/>
          <w:lang w:val="en-US"/>
        </w:rPr>
        <w:t>Gallions Quarter – 800 homes and 100 jobs</w:t>
      </w:r>
    </w:p>
    <w:p w14:paraId="5486B425" w14:textId="664F0742" w:rsidR="008D361C" w:rsidRPr="00ED2175" w:rsidRDefault="008D361C" w:rsidP="002E6E60">
      <w:pPr>
        <w:pStyle w:val="KeyMessBullet1Land"/>
        <w:framePr w:w="5461" w:h="4623" w:hRule="exact" w:wrap="around" w:hAnchor="page" w:x="5007" w:y="675"/>
        <w:rPr>
          <w:sz w:val="22"/>
          <w:lang w:val="en-US"/>
        </w:rPr>
      </w:pPr>
      <w:r w:rsidRPr="00ED2175">
        <w:rPr>
          <w:sz w:val="22"/>
          <w:lang w:val="en-US"/>
        </w:rPr>
        <w:t xml:space="preserve">Beckton </w:t>
      </w:r>
      <w:r>
        <w:rPr>
          <w:sz w:val="22"/>
          <w:lang w:val="en-US"/>
        </w:rPr>
        <w:t>R</w:t>
      </w:r>
      <w:r w:rsidRPr="00ED2175">
        <w:rPr>
          <w:sz w:val="22"/>
          <w:lang w:val="en-US"/>
        </w:rPr>
        <w:t xml:space="preserve">iverside – 5,000 homes </w:t>
      </w:r>
      <w:r w:rsidR="002E6E60">
        <w:rPr>
          <w:sz w:val="22"/>
          <w:lang w:val="en-US"/>
        </w:rPr>
        <w:t>&amp;</w:t>
      </w:r>
      <w:r w:rsidRPr="00ED2175">
        <w:rPr>
          <w:sz w:val="22"/>
          <w:lang w:val="en-US"/>
        </w:rPr>
        <w:t xml:space="preserve"> 10,000 jobs</w:t>
      </w:r>
    </w:p>
    <w:p w14:paraId="4EB9CA54" w14:textId="77777777" w:rsidR="008D361C" w:rsidRPr="00ED2175" w:rsidRDefault="008D361C" w:rsidP="002E6E60">
      <w:pPr>
        <w:pStyle w:val="KeyMessBullet1Land"/>
        <w:framePr w:w="5461" w:h="4623" w:hRule="exact" w:wrap="around" w:hAnchor="page" w:x="5007" w:y="675"/>
        <w:rPr>
          <w:sz w:val="22"/>
          <w:lang w:val="en-US"/>
        </w:rPr>
      </w:pPr>
      <w:r w:rsidRPr="00ED2175">
        <w:rPr>
          <w:sz w:val="22"/>
          <w:lang w:val="en-US"/>
        </w:rPr>
        <w:t>Great Eastern Quays – 800 homes and 100 jobs</w:t>
      </w:r>
    </w:p>
    <w:p w14:paraId="4893DF04" w14:textId="77777777" w:rsidR="008D361C" w:rsidRPr="00ED2175" w:rsidRDefault="008D361C" w:rsidP="002E6E60">
      <w:pPr>
        <w:pStyle w:val="KeyMessBullet1Land"/>
        <w:framePr w:w="5461" w:h="4623" w:hRule="exact" w:wrap="around" w:hAnchor="page" w:x="5007" w:y="675"/>
        <w:rPr>
          <w:sz w:val="22"/>
          <w:lang w:val="en-US"/>
        </w:rPr>
      </w:pPr>
      <w:r w:rsidRPr="00ED2175">
        <w:rPr>
          <w:sz w:val="22"/>
          <w:lang w:val="en-US"/>
        </w:rPr>
        <w:t>Albert Island – 1,500 jobs</w:t>
      </w:r>
    </w:p>
    <w:p w14:paraId="6BDF88DF" w14:textId="77777777" w:rsidR="008D361C" w:rsidRPr="00ED2175" w:rsidRDefault="008D361C" w:rsidP="002E6E60">
      <w:pPr>
        <w:pStyle w:val="KeyMessBullet1Land"/>
        <w:framePr w:w="5461" w:h="4623" w:hRule="exact" w:wrap="around" w:hAnchor="page" w:x="5007" w:y="675"/>
        <w:rPr>
          <w:sz w:val="22"/>
          <w:lang w:val="en-US"/>
        </w:rPr>
      </w:pPr>
      <w:r w:rsidRPr="00ED2175">
        <w:rPr>
          <w:sz w:val="22"/>
          <w:lang w:val="en-US"/>
        </w:rPr>
        <w:t>Thameside East – 3,000 homes and 8,000 jobs</w:t>
      </w:r>
    </w:p>
    <w:p w14:paraId="7992CCD8" w14:textId="77777777" w:rsidR="008D361C" w:rsidRPr="00ED2175" w:rsidRDefault="008D361C" w:rsidP="002E6E60">
      <w:pPr>
        <w:pStyle w:val="KeyMessBullet1Land"/>
        <w:framePr w:w="5461" w:h="4623" w:hRule="exact" w:wrap="around" w:hAnchor="page" w:x="5007" w:y="675"/>
        <w:rPr>
          <w:sz w:val="22"/>
          <w:lang w:val="en-US"/>
        </w:rPr>
      </w:pPr>
      <w:r w:rsidRPr="00ED2175">
        <w:rPr>
          <w:sz w:val="22"/>
          <w:lang w:val="en-US"/>
        </w:rPr>
        <w:t>Barrier Park East – 800 homes and 100 jobs</w:t>
      </w:r>
    </w:p>
    <w:p w14:paraId="0FC961CC" w14:textId="77777777" w:rsidR="008D361C" w:rsidRPr="00ED2175" w:rsidRDefault="008D361C" w:rsidP="002E6E60">
      <w:pPr>
        <w:pStyle w:val="KeyMessBullet1Land"/>
        <w:framePr w:w="5461" w:h="4623" w:hRule="exact" w:wrap="around" w:hAnchor="page" w:x="5007" w:y="675"/>
        <w:rPr>
          <w:sz w:val="22"/>
          <w:lang w:val="en-US"/>
        </w:rPr>
      </w:pPr>
      <w:r w:rsidRPr="00ED2175">
        <w:rPr>
          <w:sz w:val="22"/>
          <w:lang w:val="en-US"/>
        </w:rPr>
        <w:t>Royal Whaft – 3,400 homes and 100 jobs</w:t>
      </w:r>
    </w:p>
    <w:p w14:paraId="3BB9952B" w14:textId="77777777" w:rsidR="008D361C" w:rsidRPr="00ED2175" w:rsidRDefault="008D361C" w:rsidP="002E6E60">
      <w:pPr>
        <w:pStyle w:val="KeyMessBullet1Land"/>
        <w:framePr w:w="5461" w:h="4623" w:hRule="exact" w:wrap="around" w:hAnchor="page" w:x="5007" w:y="675"/>
        <w:rPr>
          <w:sz w:val="22"/>
          <w:lang w:val="en-US"/>
        </w:rPr>
      </w:pPr>
      <w:r w:rsidRPr="00ED2175">
        <w:rPr>
          <w:sz w:val="22"/>
          <w:lang w:val="en-US"/>
        </w:rPr>
        <w:t>Silvertown Quays – 3,000 homes and 21,000 jobs</w:t>
      </w:r>
    </w:p>
    <w:p w14:paraId="599C6617" w14:textId="77777777" w:rsidR="008D361C" w:rsidRPr="00ED2175" w:rsidRDefault="008D361C" w:rsidP="002E6E60">
      <w:pPr>
        <w:pStyle w:val="KeyMessBullet1Land"/>
        <w:framePr w:w="5461" w:h="4623" w:hRule="exact" w:wrap="around" w:hAnchor="page" w:x="5007" w:y="675"/>
        <w:rPr>
          <w:sz w:val="22"/>
          <w:lang w:val="en-US"/>
        </w:rPr>
      </w:pPr>
      <w:r w:rsidRPr="00ED2175">
        <w:rPr>
          <w:sz w:val="22"/>
          <w:lang w:val="en-US"/>
        </w:rPr>
        <w:t>Thameside West – 4,500 homes and 4,500 jobs</w:t>
      </w:r>
    </w:p>
    <w:p w14:paraId="70AD3684" w14:textId="73A04C8D" w:rsidR="004A379E" w:rsidRPr="004A379E" w:rsidRDefault="00C86897" w:rsidP="004A379E">
      <w:pPr>
        <w:pStyle w:val="RDParagraph"/>
        <w:rPr>
          <w:lang w:val="en-US"/>
        </w:rPr>
      </w:pPr>
      <w:r>
        <w:t xml:space="preserve">In total, capacity has been identified for </w:t>
      </w:r>
      <w:r w:rsidR="008B0595">
        <w:t>over 30,000 homes</w:t>
      </w:r>
      <w:r w:rsidR="00BA3F21">
        <w:t xml:space="preserve"> and over 41,500 jobs across the Opportunity Area – accounting for </w:t>
      </w:r>
      <w:r w:rsidR="004A379E" w:rsidRPr="004A379E">
        <w:t xml:space="preserve">6% of new homes and jobs across all </w:t>
      </w:r>
      <w:r w:rsidR="00BA3F21">
        <w:t>of London’s</w:t>
      </w:r>
      <w:r w:rsidR="004A379E" w:rsidRPr="004A379E">
        <w:t xml:space="preserve"> Opportunity Areas</w:t>
      </w:r>
      <w:r w:rsidR="00BA3F21">
        <w:t xml:space="preserve">. </w:t>
      </w:r>
      <w:r w:rsidR="008D361C">
        <w:t>The Royal Docks is an i</w:t>
      </w:r>
      <w:r w:rsidR="004A379E" w:rsidRPr="004A379E">
        <w:t xml:space="preserve">nstrumental </w:t>
      </w:r>
      <w:r w:rsidR="008D361C">
        <w:t xml:space="preserve">part of the </w:t>
      </w:r>
      <w:r w:rsidR="004A379E" w:rsidRPr="004A379E">
        <w:t>wider Thames Gateway Growth Corridor, which accounts for 27% of new homes and 17% of new jobs</w:t>
      </w:r>
      <w:r w:rsidR="00183539">
        <w:t xml:space="preserve"> across London (</w:t>
      </w:r>
      <w:r w:rsidR="00F96FE2">
        <w:t xml:space="preserve">and which is the largest identified ‘growth corridor’ outside of </w:t>
      </w:r>
      <w:r w:rsidR="003A5818">
        <w:t>the central activity zone).</w:t>
      </w:r>
    </w:p>
    <w:p w14:paraId="40115A51" w14:textId="549C64C6" w:rsidR="004A379E" w:rsidRDefault="00D0201F" w:rsidP="004A379E">
      <w:pPr>
        <w:pStyle w:val="RDParagraph"/>
      </w:pPr>
      <w:r w:rsidRPr="008A12D6">
        <w:rPr>
          <w:rFonts w:eastAsiaTheme="minorHAnsi"/>
          <w:noProof/>
          <w:szCs w:val="20"/>
        </w:rPr>
        <mc:AlternateContent>
          <mc:Choice Requires="wps">
            <w:drawing>
              <wp:anchor distT="0" distB="0" distL="114300" distR="114300" simplePos="0" relativeHeight="251658244" behindDoc="1" locked="0" layoutInCell="1" allowOverlap="1" wp14:anchorId="05E13084" wp14:editId="3123D538">
                <wp:simplePos x="0" y="0"/>
                <wp:positionH relativeFrom="margin">
                  <wp:posOffset>445120</wp:posOffset>
                </wp:positionH>
                <wp:positionV relativeFrom="paragraph">
                  <wp:posOffset>1554525</wp:posOffset>
                </wp:positionV>
                <wp:extent cx="5506720" cy="2389505"/>
                <wp:effectExtent l="0" t="0" r="0" b="0"/>
                <wp:wrapSquare wrapText="bothSides"/>
                <wp:docPr id="343" name="TextBox 6"/>
                <wp:cNvGraphicFramePr/>
                <a:graphic xmlns:a="http://schemas.openxmlformats.org/drawingml/2006/main">
                  <a:graphicData uri="http://schemas.microsoft.com/office/word/2010/wordprocessingShape">
                    <wps:wsp>
                      <wps:cNvSpPr txBox="1"/>
                      <wps:spPr>
                        <a:xfrm>
                          <a:off x="0" y="0"/>
                          <a:ext cx="5506720" cy="2389505"/>
                        </a:xfrm>
                        <a:prstGeom prst="rect">
                          <a:avLst/>
                        </a:prstGeom>
                        <a:solidFill>
                          <a:srgbClr val="D6DEE3"/>
                        </a:solidFill>
                      </wps:spPr>
                      <wps:txbx>
                        <w:txbxContent>
                          <w:p w14:paraId="4FD2394F" w14:textId="2A1564C0" w:rsidR="006F3AC6" w:rsidRDefault="006F3AC6" w:rsidP="00D0201F">
                            <w:pPr>
                              <w:pStyle w:val="RDTier2"/>
                              <w:ind w:left="0"/>
                              <w:rPr>
                                <w:sz w:val="24"/>
                              </w:rPr>
                            </w:pPr>
                            <w:r w:rsidRPr="00D0201F">
                              <w:rPr>
                                <w:sz w:val="24"/>
                              </w:rPr>
                              <w:t>Implications for the Royal Docks Economic Purpose</w:t>
                            </w:r>
                          </w:p>
                          <w:p w14:paraId="5A16CCF6" w14:textId="53C24547" w:rsidR="006F3AC6" w:rsidRDefault="006F3AC6" w:rsidP="00D0201F">
                            <w:pPr>
                              <w:pStyle w:val="RDParagraph"/>
                              <w:ind w:left="0"/>
                            </w:pPr>
                            <w:r>
                              <w:t xml:space="preserve">While the Royal Docks has experienced a strong level of economic growth in recent years, a significant departure from ‘business as usual’ will be required to stimulate demand on the scale needed to meet new capacity, and to serve the needs of the growing population.  </w:t>
                            </w:r>
                          </w:p>
                          <w:p w14:paraId="6D5E48B9" w14:textId="22A2C718" w:rsidR="006F3AC6" w:rsidRDefault="006F3AC6" w:rsidP="00D0201F">
                            <w:pPr>
                              <w:pStyle w:val="RDParagraph"/>
                              <w:ind w:left="0"/>
                            </w:pPr>
                            <w:r>
                              <w:t xml:space="preserve">In part, the challenge is one of coordination: the Royal Docks is one of London’s largest Opportunity Areas by land area, and, with at least 10 major development opportunities, there is an immediate need to align the aspirations and plans of multiple developers and to curate the types and phasing of space coming forward. </w:t>
                            </w:r>
                          </w:p>
                          <w:p w14:paraId="11C6EAC0" w14:textId="4AB71026" w:rsidR="006F3AC6" w:rsidRPr="00D0201F" w:rsidRDefault="006F3AC6" w:rsidP="00D0201F">
                            <w:pPr>
                              <w:pStyle w:val="RDParagraph"/>
                              <w:ind w:left="0"/>
                            </w:pPr>
                            <w:r>
                              <w:t>Alongside coordination activities, work to position the Royal Docks to external audiences and markets will be crucial in establishing a single and clear narrative regarding the opportunity: both for the Royal Docks as a whole, and for its constituent places.</w:t>
                            </w:r>
                          </w:p>
                          <w:p w14:paraId="0DE0D597" w14:textId="14C90CA6" w:rsidR="006F3AC6" w:rsidRPr="00382E2E" w:rsidRDefault="006F3AC6" w:rsidP="00D0201F">
                            <w:pPr>
                              <w:pStyle w:val="Heading5"/>
                              <w:ind w:right="198"/>
                              <w:rPr>
                                <w:rFonts w:ascii="Source Sans Pro" w:hAnsi="Source Sans Pro"/>
                                <w:color w:val="052D3F"/>
                                <w:szCs w:val="22"/>
                              </w:rPr>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5E13084" id="_x0000_s1031" type="#_x0000_t202" style="position:absolute;left:0;text-align:left;margin-left:35.05pt;margin-top:122.4pt;width:433.6pt;height:188.1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" fillcolor="#d6dee3" stroked="f">
                <v:textbox>
                  <w:txbxContent>
                    <w:p w14:paraId="4FD2394F" w14:textId="2A1564C0" w:rsidR="006F3AC6" w:rsidRDefault="006F3AC6" w:rsidP="00D0201F">
                      <w:pPr>
                        <w:pStyle w:val="RDTier2"/>
                        <w:ind w:left="0"/>
                        <w:rPr>
                          <w:sz w:val="24"/>
                        </w:rPr>
                      </w:pPr>
                      <w:r w:rsidRPr="00D0201F">
                        <w:rPr>
                          <w:sz w:val="24"/>
                        </w:rPr>
                        <w:t>Implications for the Royal Docks Economic Purpose</w:t>
                      </w:r>
                    </w:p>
                    <w:p w14:paraId="5A16CCF6" w14:textId="53C24547" w:rsidR="006F3AC6" w:rsidRDefault="006F3AC6" w:rsidP="00D0201F">
                      <w:pPr>
                        <w:pStyle w:val="RDParagraph"/>
                        <w:ind w:left="0"/>
                      </w:pPr>
                      <w:r>
                        <w:t xml:space="preserve">While the Royal Docks has experienced a strong level of economic growth in recent years, a significant departure from ‘business as usual’ will be required to stimulate demand on the scale needed to meet new capacity, and to serve the needs of the growing population.  </w:t>
                      </w:r>
                    </w:p>
                    <w:p w14:paraId="6D5E48B9" w14:textId="22A2C718" w:rsidR="006F3AC6" w:rsidRDefault="006F3AC6" w:rsidP="00D0201F">
                      <w:pPr>
                        <w:pStyle w:val="RDParagraph"/>
                        <w:ind w:left="0"/>
                      </w:pPr>
                      <w:r>
                        <w:t xml:space="preserve">In part, the challenge is one of coordination: the Royal Docks is one of London’s largest Opportunity Areas by land area, and, with at least 10 major development opportunities, there is an immediate need to align the aspirations and plans of multiple developers and to curate the types and phasing of space coming forward. </w:t>
                      </w:r>
                    </w:p>
                    <w:p w14:paraId="11C6EAC0" w14:textId="4AB71026" w:rsidR="006F3AC6" w:rsidRPr="00D0201F" w:rsidRDefault="006F3AC6" w:rsidP="00D0201F">
                      <w:pPr>
                        <w:pStyle w:val="RDParagraph"/>
                        <w:ind w:left="0"/>
                      </w:pPr>
                      <w:r>
                        <w:t>Alongside coordination activities, work to position the Royal Docks to external audiences and markets will be crucial in establishing a single and clear narrative regarding the opportunity: both for the Royal Docks as a whole, and for its constituent places.</w:t>
                      </w:r>
                    </w:p>
                    <w:p w14:paraId="0DE0D597" w14:textId="14C90CA6" w:rsidR="006F3AC6" w:rsidRPr="00382E2E" w:rsidRDefault="006F3AC6" w:rsidP="00D0201F">
                      <w:pPr>
                        <w:pStyle w:val="Heading5"/>
                        <w:ind w:right="198"/>
                        <w:rPr>
                          <w:rFonts w:ascii="Source Sans Pro" w:hAnsi="Source Sans Pro"/>
                          <w:color w:val="052D3F"/>
                          <w:szCs w:val="22"/>
                        </w:rPr>
                      </w:pPr>
                    </w:p>
                  </w:txbxContent>
                </v:textbox>
                <w10:wrap type="square" anchorx="margin"/>
              </v:shape>
            </w:pict>
          </mc:Fallback>
        </mc:AlternateContent>
      </w:r>
      <w:r w:rsidR="003F76F8">
        <w:rPr>
          <w:lang w:val="en-US"/>
        </w:rPr>
        <w:t>Delivery on this scale would effect</w:t>
      </w:r>
      <w:r w:rsidR="00FA49DF">
        <w:t>ively</w:t>
      </w:r>
      <w:r w:rsidR="004A379E" w:rsidRPr="004A379E">
        <w:t xml:space="preserve"> increas</w:t>
      </w:r>
      <w:r w:rsidR="00FA49DF">
        <w:t>e</w:t>
      </w:r>
      <w:r w:rsidR="004A379E" w:rsidRPr="004A379E">
        <w:t xml:space="preserve"> the size of the Royal Docks economy by 125%: a scale of growth transformational </w:t>
      </w:r>
      <w:r w:rsidR="005D2971">
        <w:t xml:space="preserve">for </w:t>
      </w:r>
      <w:r w:rsidR="00327F8B">
        <w:t xml:space="preserve">both </w:t>
      </w:r>
      <w:r w:rsidR="004A379E" w:rsidRPr="004A379E">
        <w:t>Newham</w:t>
      </w:r>
      <w:r w:rsidR="00327F8B">
        <w:t xml:space="preserve"> and London</w:t>
      </w:r>
      <w:r w:rsidR="005D2971">
        <w:t xml:space="preserve">, and </w:t>
      </w:r>
      <w:r w:rsidR="00327F8B">
        <w:t>fundamentally changing the role that the Royal Docks plays within the city</w:t>
      </w:r>
      <w:r w:rsidR="005D2971">
        <w:t>.</w:t>
      </w:r>
    </w:p>
    <w:p w14:paraId="3B4BD2A9" w14:textId="3B609D75" w:rsidR="00F61727" w:rsidRDefault="0056572F" w:rsidP="00690AD5">
      <w:pPr>
        <w:pStyle w:val="RDTier2"/>
      </w:pPr>
      <w:r>
        <w:lastRenderedPageBreak/>
        <w:t>Understanding Demand</w:t>
      </w:r>
      <w:r w:rsidR="00F339E0">
        <w:t xml:space="preserve"> and </w:t>
      </w:r>
      <w:r>
        <w:t>Evol</w:t>
      </w:r>
      <w:r w:rsidR="00F339E0">
        <w:t>ving</w:t>
      </w:r>
      <w:r>
        <w:t xml:space="preserve"> a Balanced Economy</w:t>
      </w:r>
    </w:p>
    <w:p w14:paraId="73355773" w14:textId="7DF743ED" w:rsidR="00D97602" w:rsidRDefault="00D97602" w:rsidP="00697856">
      <w:pPr>
        <w:pStyle w:val="RDParagraph"/>
      </w:pPr>
      <w:r>
        <w:t>In support</w:t>
      </w:r>
      <w:r w:rsidR="00F339E0">
        <w:t>ing</w:t>
      </w:r>
      <w:r>
        <w:t xml:space="preserve"> the growth and evolution of the Royal Docks economy, it is important that </w:t>
      </w:r>
      <w:r w:rsidR="00C40AC0">
        <w:t xml:space="preserve">a balanced approach is taken: recognising that </w:t>
      </w:r>
      <w:r w:rsidR="007B4760">
        <w:t xml:space="preserve">as delivery progresses </w:t>
      </w:r>
      <w:r w:rsidR="00C40AC0">
        <w:t xml:space="preserve">there will be multiple drivers of </w:t>
      </w:r>
      <w:r w:rsidR="00591909">
        <w:t>demand and that each of these will have different implications in terms of</w:t>
      </w:r>
      <w:r w:rsidR="00334F2D">
        <w:t xml:space="preserve"> the types of jobs and activities supported, and in terms of spatial requirements and support needs.</w:t>
      </w:r>
    </w:p>
    <w:p w14:paraId="71145C3E" w14:textId="0B79B0CB" w:rsidR="00202CEB" w:rsidRPr="006E65AD" w:rsidRDefault="00A01769" w:rsidP="00CB6319">
      <w:pPr>
        <w:pStyle w:val="RDParagraph"/>
        <w:rPr>
          <w:lang w:val="en-US"/>
        </w:rPr>
      </w:pPr>
      <w:r>
        <w:t xml:space="preserve">The ultimate objective should be </w:t>
      </w:r>
      <w:r w:rsidR="00AE7686">
        <w:t xml:space="preserve">to </w:t>
      </w:r>
      <w:r>
        <w:t>establish a</w:t>
      </w:r>
      <w:r w:rsidR="00B00A72" w:rsidRPr="00B00A72">
        <w:t xml:space="preserve"> diverse, resilient and ‘sticky’ economy</w:t>
      </w:r>
      <w:r>
        <w:t xml:space="preserve">: where businesses </w:t>
      </w:r>
      <w:r w:rsidR="0094215C">
        <w:t>can put down roots and have confidence that their investment is for the long term.</w:t>
      </w:r>
      <w:r w:rsidR="00356C63">
        <w:t xml:space="preserve"> In practice, this necessitate</w:t>
      </w:r>
      <w:r w:rsidR="00191DCF">
        <w:t>s</w:t>
      </w:r>
      <w:r w:rsidR="00356C63">
        <w:t xml:space="preserve"> </w:t>
      </w:r>
      <w:r w:rsidR="00AE3909">
        <w:t xml:space="preserve">the evolution of a strong and networked business ecosystem comprising </w:t>
      </w:r>
      <w:r w:rsidR="00356C63">
        <w:t>a balance between larger employers and institutions</w:t>
      </w:r>
      <w:r w:rsidR="003E4456">
        <w:t xml:space="preserve"> which </w:t>
      </w:r>
      <w:r w:rsidR="00B00A72" w:rsidRPr="00B00A72">
        <w:t>anchor the economy</w:t>
      </w:r>
      <w:r w:rsidR="003E4456">
        <w:t xml:space="preserve"> and </w:t>
      </w:r>
      <w:r w:rsidR="00B00A72" w:rsidRPr="00B00A72">
        <w:t>help to establish reputation</w:t>
      </w:r>
      <w:r w:rsidR="00CB6319">
        <w:t xml:space="preserve"> and identity</w:t>
      </w:r>
      <w:r w:rsidR="003E4456">
        <w:t xml:space="preserve">, alongside </w:t>
      </w:r>
      <w:r w:rsidR="00CB6319">
        <w:t>a community of</w:t>
      </w:r>
      <w:r w:rsidR="00B00A72" w:rsidRPr="00B00A72">
        <w:t xml:space="preserve"> smaller businesses </w:t>
      </w:r>
      <w:r w:rsidR="00CB6319">
        <w:t>which create vibrancy and excitement</w:t>
      </w:r>
      <w:r w:rsidR="00B00A72" w:rsidRPr="00B00A72">
        <w:t>.</w:t>
      </w:r>
      <w:r w:rsidR="00191DCF">
        <w:t xml:space="preserve"> </w:t>
      </w:r>
    </w:p>
    <w:p w14:paraId="7F899D9D" w14:textId="7863C27D" w:rsidR="00F87C3A" w:rsidRDefault="001E4E0F" w:rsidP="001E4E0F">
      <w:pPr>
        <w:pStyle w:val="RDTier2"/>
        <w:ind w:left="0" w:firstLine="680"/>
      </w:pPr>
      <w:r>
        <w:rPr>
          <w:i/>
          <w:sz w:val="22"/>
          <w:lang w:val="en-US"/>
        </w:rPr>
        <w:t xml:space="preserve">Table 3.1. </w:t>
      </w:r>
      <w:r w:rsidR="00C20BAD">
        <w:rPr>
          <w:i/>
          <w:sz w:val="22"/>
          <w:lang w:val="en-US"/>
        </w:rPr>
        <w:t xml:space="preserve">Sources of Economic Demand for the Royal Docks </w:t>
      </w:r>
    </w:p>
    <w:tbl>
      <w:tblPr>
        <w:tblW w:w="8703" w:type="dxa"/>
        <w:tblInd w:w="709" w:type="dxa"/>
        <w:tblCellMar>
          <w:left w:w="0" w:type="dxa"/>
          <w:right w:w="0" w:type="dxa"/>
        </w:tblCellMar>
        <w:tblLook w:val="0420" w:firstRow="1" w:lastRow="0" w:firstColumn="0" w:lastColumn="0" w:noHBand="0" w:noVBand="1"/>
      </w:tblPr>
      <w:tblGrid>
        <w:gridCol w:w="1418"/>
        <w:gridCol w:w="1701"/>
        <w:gridCol w:w="2693"/>
        <w:gridCol w:w="2891"/>
      </w:tblGrid>
      <w:tr w:rsidR="00C20BAD" w:rsidRPr="00F72A73" w14:paraId="2F88C573" w14:textId="2487B05B" w:rsidTr="00A359DD">
        <w:trPr>
          <w:trHeight w:val="239"/>
        </w:trPr>
        <w:tc>
          <w:tcPr>
            <w:tcW w:w="1418" w:type="dxa"/>
            <w:tcBorders>
              <w:top w:val="single" w:sz="18" w:space="0" w:color="08445E" w:themeColor="accent2"/>
              <w:left w:val="nil"/>
              <w:bottom w:val="single" w:sz="18" w:space="0" w:color="08445E" w:themeColor="accent2"/>
              <w:right w:val="nil"/>
            </w:tcBorders>
            <w:shd w:val="clear" w:color="auto" w:fill="E9E9EA"/>
            <w:tcMar>
              <w:top w:w="72" w:type="dxa"/>
              <w:left w:w="144" w:type="dxa"/>
              <w:bottom w:w="72" w:type="dxa"/>
              <w:right w:w="144" w:type="dxa"/>
            </w:tcMar>
            <w:vAlign w:val="center"/>
          </w:tcPr>
          <w:p w14:paraId="1966E042" w14:textId="60DE9D77" w:rsidR="00C20BAD" w:rsidRPr="000F00DC" w:rsidRDefault="00C20BAD" w:rsidP="007A2860">
            <w:pPr>
              <w:pStyle w:val="TableTitleInTable"/>
              <w:jc w:val="center"/>
              <w:rPr>
                <w:sz w:val="20"/>
              </w:rPr>
            </w:pPr>
            <w:r w:rsidRPr="000F00DC">
              <w:rPr>
                <w:color w:val="FF5000" w:themeColor="accent6"/>
                <w:sz w:val="20"/>
              </w:rPr>
              <w:t>Source of Demand</w:t>
            </w:r>
          </w:p>
        </w:tc>
        <w:tc>
          <w:tcPr>
            <w:tcW w:w="1701" w:type="dxa"/>
            <w:tcBorders>
              <w:top w:val="single" w:sz="18" w:space="0" w:color="08445E" w:themeColor="accent2"/>
              <w:left w:val="nil"/>
              <w:bottom w:val="single" w:sz="18" w:space="0" w:color="08445E" w:themeColor="accent2"/>
              <w:right w:val="nil"/>
            </w:tcBorders>
            <w:shd w:val="clear" w:color="auto" w:fill="E9E9EA"/>
          </w:tcPr>
          <w:p w14:paraId="223B3609" w14:textId="2C51E504" w:rsidR="00C20BAD" w:rsidRPr="000F00DC" w:rsidRDefault="00C20BAD" w:rsidP="00FA3139">
            <w:pPr>
              <w:pStyle w:val="TableTitleInTable"/>
              <w:jc w:val="center"/>
              <w:rPr>
                <w:color w:val="FF5000" w:themeColor="accent6"/>
                <w:sz w:val="20"/>
              </w:rPr>
            </w:pPr>
            <w:r w:rsidRPr="000F00DC">
              <w:rPr>
                <w:color w:val="FF5000" w:themeColor="accent6"/>
                <w:sz w:val="20"/>
              </w:rPr>
              <w:t xml:space="preserve">Type of </w:t>
            </w:r>
            <w:r w:rsidR="009408C8" w:rsidRPr="000F00DC">
              <w:rPr>
                <w:color w:val="FF5000" w:themeColor="accent6"/>
                <w:sz w:val="20"/>
              </w:rPr>
              <w:t>Activity</w:t>
            </w:r>
          </w:p>
        </w:tc>
        <w:tc>
          <w:tcPr>
            <w:tcW w:w="2693" w:type="dxa"/>
            <w:tcBorders>
              <w:top w:val="single" w:sz="18" w:space="0" w:color="08445E" w:themeColor="accent2"/>
              <w:left w:val="nil"/>
              <w:bottom w:val="single" w:sz="18" w:space="0" w:color="08445E" w:themeColor="accent2"/>
              <w:right w:val="nil"/>
            </w:tcBorders>
            <w:shd w:val="clear" w:color="auto" w:fill="E9E9EA"/>
            <w:tcMar>
              <w:top w:w="72" w:type="dxa"/>
              <w:left w:w="144" w:type="dxa"/>
              <w:bottom w:w="72" w:type="dxa"/>
              <w:right w:w="144" w:type="dxa"/>
            </w:tcMar>
          </w:tcPr>
          <w:p w14:paraId="1AB5F043" w14:textId="17B1FCC8" w:rsidR="00C20BAD" w:rsidRPr="000F00DC" w:rsidRDefault="00C20BAD" w:rsidP="00FA3139">
            <w:pPr>
              <w:pStyle w:val="TableTitleInTable"/>
              <w:jc w:val="center"/>
              <w:rPr>
                <w:color w:val="FF5000" w:themeColor="accent6"/>
                <w:sz w:val="20"/>
              </w:rPr>
            </w:pPr>
            <w:r w:rsidRPr="000F00DC">
              <w:rPr>
                <w:color w:val="FF5000" w:themeColor="accent6"/>
                <w:sz w:val="20"/>
              </w:rPr>
              <w:t>Contextualising Demand Levels</w:t>
            </w:r>
          </w:p>
        </w:tc>
        <w:tc>
          <w:tcPr>
            <w:tcW w:w="2891" w:type="dxa"/>
            <w:tcBorders>
              <w:top w:val="single" w:sz="18" w:space="0" w:color="08445E" w:themeColor="accent2"/>
              <w:left w:val="nil"/>
              <w:bottom w:val="single" w:sz="18" w:space="0" w:color="08445E" w:themeColor="accent2"/>
              <w:right w:val="nil"/>
            </w:tcBorders>
            <w:shd w:val="clear" w:color="auto" w:fill="E9E9EA"/>
          </w:tcPr>
          <w:p w14:paraId="50CEFB3A" w14:textId="5C7E32EE" w:rsidR="00C20BAD" w:rsidRPr="000F00DC" w:rsidRDefault="00C20BAD" w:rsidP="00FA3139">
            <w:pPr>
              <w:pStyle w:val="TableTitleInTable"/>
              <w:jc w:val="center"/>
              <w:rPr>
                <w:color w:val="FF5000" w:themeColor="accent6"/>
                <w:sz w:val="20"/>
              </w:rPr>
            </w:pPr>
            <w:r w:rsidRPr="000F00DC">
              <w:rPr>
                <w:color w:val="FF5000" w:themeColor="accent6"/>
                <w:sz w:val="20"/>
              </w:rPr>
              <w:t>Implications for the Royal Docks</w:t>
            </w:r>
          </w:p>
        </w:tc>
      </w:tr>
      <w:tr w:rsidR="00971596" w:rsidRPr="00F72A73" w14:paraId="33C317C9" w14:textId="34397CAA" w:rsidTr="00D13810">
        <w:trPr>
          <w:trHeight w:val="239"/>
        </w:trPr>
        <w:tc>
          <w:tcPr>
            <w:tcW w:w="1418" w:type="dxa"/>
            <w:tcBorders>
              <w:top w:val="single" w:sz="18" w:space="0" w:color="08445E" w:themeColor="accent2"/>
              <w:left w:val="nil"/>
              <w:bottom w:val="single" w:sz="8" w:space="0" w:color="FF5000" w:themeColor="accent6"/>
              <w:right w:val="nil"/>
            </w:tcBorders>
            <w:shd w:val="clear" w:color="auto" w:fill="auto"/>
            <w:tcMar>
              <w:top w:w="72" w:type="dxa"/>
              <w:left w:w="144" w:type="dxa"/>
              <w:bottom w:w="72" w:type="dxa"/>
              <w:right w:w="144" w:type="dxa"/>
            </w:tcMar>
            <w:vAlign w:val="center"/>
            <w:hideMark/>
          </w:tcPr>
          <w:p w14:paraId="582F7A03" w14:textId="77777777" w:rsidR="00115881" w:rsidRDefault="00C20BAD" w:rsidP="00631D81">
            <w:pPr>
              <w:pStyle w:val="TableTitleInTable"/>
              <w:spacing w:before="20" w:after="20"/>
              <w:jc w:val="center"/>
              <w:rPr>
                <w:rFonts w:ascii="Source Sans Pro" w:eastAsia="Yu Gothic UI" w:hAnsi="Source Sans Pro"/>
                <w:b/>
                <w:bCs/>
                <w:color w:val="052D3F" w:themeColor="accent1"/>
                <w:sz w:val="18"/>
                <w:szCs w:val="44"/>
              </w:rPr>
            </w:pPr>
            <w:r w:rsidRPr="00C20BAD">
              <w:rPr>
                <w:rFonts w:ascii="Source Sans Pro" w:eastAsia="Yu Gothic UI" w:hAnsi="Source Sans Pro"/>
                <w:b/>
                <w:bCs/>
                <w:color w:val="052D3F" w:themeColor="accent1"/>
                <w:sz w:val="18"/>
                <w:szCs w:val="44"/>
              </w:rPr>
              <w:t xml:space="preserve">1. </w:t>
            </w:r>
          </w:p>
          <w:p w14:paraId="380A2461" w14:textId="1F5D4512" w:rsidR="00C20BAD" w:rsidRPr="00C20BAD" w:rsidRDefault="00C20BAD" w:rsidP="00631D81">
            <w:pPr>
              <w:pStyle w:val="TableTitleInTable"/>
              <w:spacing w:before="20" w:after="20"/>
              <w:jc w:val="center"/>
              <w:rPr>
                <w:rFonts w:ascii="Source Sans Pro" w:eastAsia="Yu Gothic UI" w:hAnsi="Source Sans Pro"/>
                <w:b/>
                <w:bCs/>
                <w:color w:val="052D3F" w:themeColor="accent1"/>
                <w:sz w:val="18"/>
                <w:szCs w:val="44"/>
                <w:lang w:val="en-US"/>
              </w:rPr>
            </w:pPr>
            <w:r w:rsidRPr="00C20BAD">
              <w:rPr>
                <w:rFonts w:ascii="Source Sans Pro" w:eastAsia="Yu Gothic UI" w:hAnsi="Source Sans Pro"/>
                <w:b/>
                <w:bCs/>
                <w:color w:val="052D3F" w:themeColor="accent1"/>
                <w:sz w:val="18"/>
                <w:szCs w:val="44"/>
              </w:rPr>
              <w:t>Local amenities / services</w:t>
            </w:r>
          </w:p>
        </w:tc>
        <w:tc>
          <w:tcPr>
            <w:tcW w:w="1701" w:type="dxa"/>
            <w:tcBorders>
              <w:top w:val="single" w:sz="18" w:space="0" w:color="08445E" w:themeColor="accent2"/>
              <w:left w:val="nil"/>
              <w:bottom w:val="single" w:sz="8" w:space="0" w:color="FF5000" w:themeColor="accent6"/>
              <w:right w:val="nil"/>
            </w:tcBorders>
            <w:shd w:val="clear" w:color="auto" w:fill="auto"/>
            <w:vAlign w:val="center"/>
          </w:tcPr>
          <w:p w14:paraId="71EB421F" w14:textId="59130546" w:rsidR="00C20BAD" w:rsidRPr="00C20BAD" w:rsidRDefault="009408C8" w:rsidP="00631D81">
            <w:pPr>
              <w:pStyle w:val="TableTitleInTable"/>
              <w:spacing w:before="20" w:after="20"/>
              <w:rPr>
                <w:rFonts w:ascii="Source Sans Pro" w:eastAsia="Yu Gothic UI" w:hAnsi="Source Sans Pro"/>
                <w:bCs/>
                <w:color w:val="052D3F"/>
                <w:sz w:val="18"/>
                <w:szCs w:val="44"/>
              </w:rPr>
            </w:pPr>
            <w:r>
              <w:rPr>
                <w:rFonts w:ascii="Source Sans Pro" w:eastAsia="Yu Gothic UI" w:hAnsi="Source Sans Pro"/>
                <w:bCs/>
                <w:color w:val="052D3F"/>
                <w:sz w:val="18"/>
                <w:szCs w:val="44"/>
              </w:rPr>
              <w:t>Retail, food and drink and leisure uses to serve needs of growing population</w:t>
            </w:r>
            <w:r w:rsidR="0040564E">
              <w:rPr>
                <w:rFonts w:ascii="Source Sans Pro" w:eastAsia="Yu Gothic UI" w:hAnsi="Source Sans Pro"/>
                <w:bCs/>
                <w:color w:val="052D3F"/>
                <w:sz w:val="18"/>
                <w:szCs w:val="44"/>
              </w:rPr>
              <w:t xml:space="preserve"> and business community</w:t>
            </w:r>
          </w:p>
        </w:tc>
        <w:tc>
          <w:tcPr>
            <w:tcW w:w="2693" w:type="dxa"/>
            <w:tcBorders>
              <w:top w:val="single" w:sz="18" w:space="0" w:color="08445E" w:themeColor="accent2"/>
              <w:left w:val="nil"/>
              <w:bottom w:val="single" w:sz="8" w:space="0" w:color="FF5000" w:themeColor="accent6"/>
              <w:right w:val="nil"/>
            </w:tcBorders>
            <w:shd w:val="clear" w:color="auto" w:fill="auto"/>
            <w:tcMar>
              <w:top w:w="72" w:type="dxa"/>
              <w:left w:w="144" w:type="dxa"/>
              <w:bottom w:w="72" w:type="dxa"/>
              <w:right w:w="144" w:type="dxa"/>
            </w:tcMar>
            <w:vAlign w:val="center"/>
          </w:tcPr>
          <w:p w14:paraId="782263BE" w14:textId="074D926B" w:rsidR="00C20BAD" w:rsidRPr="00C20BAD" w:rsidRDefault="00480A81" w:rsidP="00631D81">
            <w:pPr>
              <w:pStyle w:val="TableTitleInTable"/>
              <w:spacing w:before="20" w:after="20"/>
              <w:rPr>
                <w:rFonts w:ascii="Source Sans Pro" w:eastAsia="Yu Gothic UI" w:hAnsi="Source Sans Pro"/>
                <w:bCs/>
                <w:color w:val="052D3F"/>
                <w:sz w:val="18"/>
                <w:szCs w:val="44"/>
                <w:lang w:val="en-US"/>
              </w:rPr>
            </w:pPr>
            <w:r>
              <w:rPr>
                <w:rFonts w:ascii="Source Sans Pro" w:eastAsia="Yu Gothic UI" w:hAnsi="Source Sans Pro"/>
                <w:bCs/>
                <w:color w:val="052D3F"/>
                <w:sz w:val="18"/>
                <w:szCs w:val="44"/>
              </w:rPr>
              <w:t xml:space="preserve">Based on 30,000 new homes, potential demand to support around </w:t>
            </w:r>
            <w:r w:rsidR="00C20BAD" w:rsidRPr="00234747">
              <w:rPr>
                <w:rFonts w:ascii="Source Sans Pro" w:eastAsia="Yu Gothic UI" w:hAnsi="Source Sans Pro"/>
                <w:bCs/>
                <w:color w:val="052D3F"/>
                <w:sz w:val="18"/>
                <w:szCs w:val="44"/>
              </w:rPr>
              <w:t xml:space="preserve">8,000 </w:t>
            </w:r>
            <w:r w:rsidR="000F4C9C">
              <w:rPr>
                <w:rFonts w:ascii="Source Sans Pro" w:eastAsia="Yu Gothic UI" w:hAnsi="Source Sans Pro"/>
                <w:bCs/>
                <w:color w:val="052D3F"/>
                <w:sz w:val="18"/>
                <w:szCs w:val="44"/>
              </w:rPr>
              <w:t>additional service and amenity jobs locally</w:t>
            </w:r>
          </w:p>
        </w:tc>
        <w:tc>
          <w:tcPr>
            <w:tcW w:w="2891" w:type="dxa"/>
            <w:tcBorders>
              <w:top w:val="single" w:sz="18" w:space="0" w:color="08445E" w:themeColor="accent2"/>
              <w:left w:val="nil"/>
              <w:bottom w:val="single" w:sz="8" w:space="0" w:color="FF5000" w:themeColor="accent6"/>
              <w:right w:val="nil"/>
            </w:tcBorders>
            <w:shd w:val="clear" w:color="auto" w:fill="F2F2F2" w:themeFill="background1" w:themeFillShade="F2"/>
            <w:vAlign w:val="center"/>
          </w:tcPr>
          <w:p w14:paraId="5A596D4D" w14:textId="53F14493" w:rsidR="00C20BAD" w:rsidRPr="00C20BAD" w:rsidRDefault="002E5E45" w:rsidP="00631D81">
            <w:pPr>
              <w:pStyle w:val="TableTitleInTable"/>
              <w:spacing w:before="20" w:after="20"/>
              <w:rPr>
                <w:sz w:val="18"/>
              </w:rPr>
            </w:pPr>
            <w:r>
              <w:rPr>
                <w:rFonts w:ascii="Source Sans Pro" w:eastAsia="Yu Gothic UI" w:hAnsi="Source Sans Pro"/>
                <w:bCs/>
                <w:color w:val="052D3F"/>
                <w:sz w:val="18"/>
                <w:szCs w:val="44"/>
              </w:rPr>
              <w:t xml:space="preserve">Importance of </w:t>
            </w:r>
            <w:r w:rsidR="009C4B6C">
              <w:rPr>
                <w:rFonts w:ascii="Source Sans Pro" w:eastAsia="Yu Gothic UI" w:hAnsi="Source Sans Pro"/>
                <w:bCs/>
                <w:color w:val="052D3F"/>
                <w:sz w:val="18"/>
                <w:szCs w:val="44"/>
              </w:rPr>
              <w:t xml:space="preserve">coordinating activities of developers to curate the supply and quality of amenity </w:t>
            </w:r>
            <w:r w:rsidR="005443D1">
              <w:rPr>
                <w:rFonts w:ascii="Source Sans Pro" w:eastAsia="Yu Gothic UI" w:hAnsi="Source Sans Pro"/>
                <w:bCs/>
                <w:color w:val="052D3F"/>
                <w:sz w:val="18"/>
                <w:szCs w:val="44"/>
              </w:rPr>
              <w:t>space across the area to match growing demand</w:t>
            </w:r>
            <w:r w:rsidR="0040564E">
              <w:rPr>
                <w:rFonts w:ascii="Source Sans Pro" w:eastAsia="Yu Gothic UI" w:hAnsi="Source Sans Pro"/>
                <w:bCs/>
                <w:color w:val="052D3F"/>
                <w:sz w:val="18"/>
                <w:szCs w:val="44"/>
              </w:rPr>
              <w:t>. Integral in creating sense of place for both residents and businesses.</w:t>
            </w:r>
          </w:p>
        </w:tc>
      </w:tr>
      <w:tr w:rsidR="00CE72B3" w:rsidRPr="00F72A73" w14:paraId="6FB6D7F5" w14:textId="3BFF6331" w:rsidTr="00D13810">
        <w:trPr>
          <w:trHeight w:val="239"/>
        </w:trPr>
        <w:tc>
          <w:tcPr>
            <w:tcW w:w="1418"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508E47D1" w14:textId="77777777" w:rsidR="00115881" w:rsidRDefault="002E5E45" w:rsidP="00631D81">
            <w:pPr>
              <w:pStyle w:val="TableTitleInTable"/>
              <w:spacing w:before="20" w:after="20"/>
              <w:jc w:val="center"/>
              <w:rPr>
                <w:rFonts w:ascii="Source Sans Pro" w:eastAsia="Yu Gothic UI" w:hAnsi="Source Sans Pro"/>
                <w:b/>
                <w:bCs/>
                <w:color w:val="052D3F" w:themeColor="accent1"/>
                <w:sz w:val="18"/>
                <w:szCs w:val="44"/>
              </w:rPr>
            </w:pPr>
            <w:r w:rsidRPr="00234747">
              <w:rPr>
                <w:rFonts w:ascii="Source Sans Pro" w:eastAsia="Yu Gothic UI" w:hAnsi="Source Sans Pro"/>
                <w:b/>
                <w:bCs/>
                <w:color w:val="052D3F" w:themeColor="accent1"/>
                <w:sz w:val="18"/>
                <w:szCs w:val="44"/>
              </w:rPr>
              <w:t xml:space="preserve">2. </w:t>
            </w:r>
          </w:p>
          <w:p w14:paraId="30C784D4" w14:textId="66A12ED3" w:rsidR="002E5E45" w:rsidRPr="00C20BAD" w:rsidRDefault="002E5E45" w:rsidP="00631D81">
            <w:pPr>
              <w:pStyle w:val="TableTitleInTable"/>
              <w:spacing w:before="20" w:after="20"/>
              <w:jc w:val="center"/>
              <w:rPr>
                <w:rFonts w:ascii="Source Sans Pro" w:eastAsia="Yu Gothic UI" w:hAnsi="Source Sans Pro"/>
                <w:b/>
                <w:bCs/>
                <w:color w:val="052D3F" w:themeColor="accent1"/>
                <w:sz w:val="18"/>
                <w:szCs w:val="44"/>
                <w:lang w:val="en-US"/>
              </w:rPr>
            </w:pPr>
            <w:r w:rsidRPr="00234747">
              <w:rPr>
                <w:rFonts w:ascii="Source Sans Pro" w:eastAsia="Yu Gothic UI" w:hAnsi="Source Sans Pro"/>
                <w:b/>
                <w:bCs/>
                <w:color w:val="052D3F" w:themeColor="accent1"/>
                <w:sz w:val="18"/>
                <w:szCs w:val="44"/>
              </w:rPr>
              <w:t>Growth within existing business base</w:t>
            </w:r>
          </w:p>
        </w:tc>
        <w:tc>
          <w:tcPr>
            <w:tcW w:w="1701" w:type="dxa"/>
            <w:tcBorders>
              <w:top w:val="single" w:sz="8" w:space="0" w:color="FF5000" w:themeColor="accent6"/>
              <w:left w:val="nil"/>
              <w:bottom w:val="single" w:sz="8" w:space="0" w:color="FF5000" w:themeColor="accent6"/>
              <w:right w:val="nil"/>
            </w:tcBorders>
            <w:vAlign w:val="center"/>
          </w:tcPr>
          <w:p w14:paraId="40DB7366" w14:textId="1FDB06AA" w:rsidR="002E5E45" w:rsidRPr="00C20BAD" w:rsidRDefault="002E5E45" w:rsidP="00631D81">
            <w:pPr>
              <w:pStyle w:val="TableTitleInTable"/>
              <w:spacing w:before="20" w:after="20"/>
              <w:rPr>
                <w:rFonts w:ascii="Source Sans Pro" w:eastAsia="Yu Gothic UI" w:hAnsi="Source Sans Pro"/>
                <w:bCs/>
                <w:color w:val="052D3F"/>
                <w:sz w:val="18"/>
                <w:szCs w:val="44"/>
              </w:rPr>
            </w:pPr>
            <w:r>
              <w:rPr>
                <w:rFonts w:ascii="Source Sans Pro" w:eastAsia="Yu Gothic UI" w:hAnsi="Source Sans Pro"/>
                <w:bCs/>
                <w:color w:val="052D3F"/>
                <w:sz w:val="18"/>
                <w:szCs w:val="44"/>
              </w:rPr>
              <w:t>Mix – although current business base skewed towards industrial, leisure, hospitality and public sector activities</w:t>
            </w:r>
          </w:p>
        </w:tc>
        <w:tc>
          <w:tcPr>
            <w:tcW w:w="2693"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713F74A8" w14:textId="09EEFD3F" w:rsidR="002E5E45" w:rsidRPr="00C20BAD" w:rsidRDefault="002E5E45" w:rsidP="00631D81">
            <w:pPr>
              <w:pStyle w:val="TableTitleInTable"/>
              <w:spacing w:before="20" w:after="20"/>
              <w:rPr>
                <w:sz w:val="18"/>
                <w:lang w:val="en-US"/>
              </w:rPr>
            </w:pPr>
            <w:r>
              <w:rPr>
                <w:rFonts w:ascii="Source Sans Pro" w:eastAsia="Yu Gothic UI" w:hAnsi="Source Sans Pro"/>
                <w:bCs/>
                <w:color w:val="052D3F"/>
                <w:sz w:val="18"/>
                <w:szCs w:val="44"/>
              </w:rPr>
              <w:t>Based on current business numbers and size, i</w:t>
            </w:r>
            <w:r w:rsidRPr="008D71AD">
              <w:rPr>
                <w:rFonts w:ascii="Source Sans Pro" w:eastAsia="Yu Gothic UI" w:hAnsi="Source Sans Pro"/>
                <w:bCs/>
                <w:color w:val="052D3F"/>
                <w:sz w:val="18"/>
                <w:szCs w:val="44"/>
              </w:rPr>
              <w:t xml:space="preserve">f every firm grew by </w:t>
            </w:r>
            <w:r>
              <w:rPr>
                <w:rFonts w:ascii="Source Sans Pro" w:eastAsia="Yu Gothic UI" w:hAnsi="Source Sans Pro"/>
                <w:bCs/>
                <w:color w:val="052D3F"/>
                <w:sz w:val="18"/>
                <w:szCs w:val="44"/>
              </w:rPr>
              <w:t>a fifth</w:t>
            </w:r>
            <w:r w:rsidRPr="008D71AD">
              <w:rPr>
                <w:rFonts w:ascii="Source Sans Pro" w:eastAsia="Yu Gothic UI" w:hAnsi="Source Sans Pro"/>
                <w:bCs/>
                <w:color w:val="052D3F"/>
                <w:sz w:val="18"/>
                <w:szCs w:val="44"/>
              </w:rPr>
              <w:t xml:space="preserve"> this could add </w:t>
            </w:r>
            <w:r w:rsidR="00D31404">
              <w:rPr>
                <w:rFonts w:ascii="Source Sans Pro" w:eastAsia="Yu Gothic UI" w:hAnsi="Source Sans Pro"/>
                <w:bCs/>
                <w:color w:val="052D3F"/>
                <w:sz w:val="18"/>
                <w:szCs w:val="44"/>
              </w:rPr>
              <w:t>c.</w:t>
            </w:r>
            <w:r w:rsidRPr="008D71AD">
              <w:rPr>
                <w:rFonts w:ascii="Source Sans Pro" w:eastAsia="Yu Gothic UI" w:hAnsi="Source Sans Pro"/>
                <w:bCs/>
                <w:color w:val="052D3F"/>
                <w:sz w:val="18"/>
                <w:szCs w:val="44"/>
              </w:rPr>
              <w:t>7,000 jobs</w:t>
            </w:r>
            <w:r>
              <w:rPr>
                <w:rFonts w:ascii="Source Sans Pro" w:eastAsia="Yu Gothic UI" w:hAnsi="Source Sans Pro"/>
                <w:bCs/>
                <w:color w:val="052D3F"/>
                <w:sz w:val="18"/>
                <w:szCs w:val="44"/>
              </w:rPr>
              <w:t xml:space="preserve"> locally, with equivalent demand for additional space</w:t>
            </w:r>
          </w:p>
        </w:tc>
        <w:tc>
          <w:tcPr>
            <w:tcW w:w="2891" w:type="dxa"/>
            <w:tcBorders>
              <w:top w:val="single" w:sz="8" w:space="0" w:color="FF5000" w:themeColor="accent6"/>
              <w:left w:val="nil"/>
              <w:bottom w:val="single" w:sz="8" w:space="0" w:color="FF5000" w:themeColor="accent6"/>
              <w:right w:val="nil"/>
            </w:tcBorders>
            <w:shd w:val="clear" w:color="auto" w:fill="F2F2F2" w:themeFill="background1" w:themeFillShade="F2"/>
            <w:vAlign w:val="center"/>
          </w:tcPr>
          <w:p w14:paraId="2A6B415A" w14:textId="6C400616" w:rsidR="002E5E45" w:rsidRPr="00C20BAD" w:rsidRDefault="00316A15" w:rsidP="00631D81">
            <w:pPr>
              <w:pStyle w:val="TableTitleInTable"/>
              <w:spacing w:before="20" w:after="20"/>
              <w:rPr>
                <w:sz w:val="18"/>
              </w:rPr>
            </w:pPr>
            <w:r>
              <w:rPr>
                <w:rFonts w:ascii="Source Sans Pro" w:eastAsia="Yu Gothic UI" w:hAnsi="Source Sans Pro"/>
                <w:bCs/>
                <w:color w:val="052D3F"/>
                <w:sz w:val="18"/>
                <w:szCs w:val="44"/>
              </w:rPr>
              <w:t>Working with existing businesses to understand growth aspiration</w:t>
            </w:r>
            <w:r w:rsidR="00BC25FD">
              <w:rPr>
                <w:rFonts w:ascii="Source Sans Pro" w:eastAsia="Yu Gothic UI" w:hAnsi="Source Sans Pro"/>
                <w:bCs/>
                <w:color w:val="052D3F"/>
                <w:sz w:val="18"/>
                <w:szCs w:val="44"/>
              </w:rPr>
              <w:t>s,</w:t>
            </w:r>
            <w:r w:rsidR="00B74B33">
              <w:rPr>
                <w:rFonts w:ascii="Source Sans Pro" w:eastAsia="Yu Gothic UI" w:hAnsi="Source Sans Pro"/>
                <w:bCs/>
                <w:color w:val="052D3F"/>
                <w:sz w:val="18"/>
                <w:szCs w:val="44"/>
              </w:rPr>
              <w:t xml:space="preserve"> and where necessary provide support (space, investment, regulation)</w:t>
            </w:r>
            <w:r w:rsidR="00BC25FD">
              <w:rPr>
                <w:rFonts w:ascii="Source Sans Pro" w:eastAsia="Yu Gothic UI" w:hAnsi="Source Sans Pro"/>
                <w:bCs/>
                <w:color w:val="052D3F"/>
                <w:sz w:val="18"/>
                <w:szCs w:val="44"/>
              </w:rPr>
              <w:t xml:space="preserve"> </w:t>
            </w:r>
          </w:p>
        </w:tc>
      </w:tr>
      <w:tr w:rsidR="00971596" w:rsidRPr="00F72A73" w14:paraId="68B76A4D" w14:textId="58CF4691" w:rsidTr="00D13810">
        <w:trPr>
          <w:trHeight w:val="239"/>
        </w:trPr>
        <w:tc>
          <w:tcPr>
            <w:tcW w:w="1418"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5B407A66" w14:textId="030A08A3" w:rsidR="002E5E45" w:rsidRPr="00C20BAD" w:rsidRDefault="002E5E45" w:rsidP="00631D81">
            <w:pPr>
              <w:pStyle w:val="TableTitleInTable"/>
              <w:spacing w:before="20" w:after="20"/>
              <w:jc w:val="center"/>
              <w:rPr>
                <w:rFonts w:ascii="Source Sans Pro" w:eastAsia="Yu Gothic UI" w:hAnsi="Source Sans Pro"/>
                <w:b/>
                <w:bCs/>
                <w:color w:val="052D3F" w:themeColor="accent1"/>
                <w:sz w:val="18"/>
                <w:szCs w:val="44"/>
                <w:lang w:val="en-US"/>
              </w:rPr>
            </w:pPr>
            <w:r w:rsidRPr="008D71AD">
              <w:rPr>
                <w:rFonts w:ascii="Source Sans Pro" w:eastAsia="Yu Gothic UI" w:hAnsi="Source Sans Pro"/>
                <w:b/>
                <w:bCs/>
                <w:color w:val="052D3F" w:themeColor="accent1"/>
                <w:sz w:val="18"/>
                <w:szCs w:val="44"/>
              </w:rPr>
              <w:t>3. Encouraging enterprise</w:t>
            </w:r>
          </w:p>
        </w:tc>
        <w:tc>
          <w:tcPr>
            <w:tcW w:w="1701" w:type="dxa"/>
            <w:tcBorders>
              <w:top w:val="single" w:sz="8" w:space="0" w:color="FF5000" w:themeColor="accent6"/>
              <w:left w:val="nil"/>
              <w:bottom w:val="single" w:sz="8" w:space="0" w:color="FF5000" w:themeColor="accent6"/>
              <w:right w:val="nil"/>
            </w:tcBorders>
            <w:shd w:val="clear" w:color="auto" w:fill="auto"/>
            <w:vAlign w:val="center"/>
          </w:tcPr>
          <w:p w14:paraId="07E7B5E8" w14:textId="20B2065B" w:rsidR="002E5E45" w:rsidRPr="00C20BAD" w:rsidRDefault="002E5E45" w:rsidP="00631D81">
            <w:pPr>
              <w:pStyle w:val="TableTitleInTable"/>
              <w:tabs>
                <w:tab w:val="left" w:pos="687"/>
              </w:tabs>
              <w:spacing w:before="20" w:after="20"/>
              <w:rPr>
                <w:rFonts w:ascii="Source Sans Pro" w:eastAsia="Yu Gothic UI" w:hAnsi="Source Sans Pro"/>
                <w:bCs/>
                <w:color w:val="052D3F"/>
                <w:sz w:val="18"/>
                <w:szCs w:val="44"/>
              </w:rPr>
            </w:pPr>
            <w:r>
              <w:rPr>
                <w:rFonts w:ascii="Source Sans Pro" w:eastAsia="Yu Gothic UI" w:hAnsi="Source Sans Pro"/>
                <w:bCs/>
                <w:color w:val="052D3F"/>
                <w:sz w:val="18"/>
                <w:szCs w:val="44"/>
              </w:rPr>
              <w:t>Mix – and dependent on types of space provide</w:t>
            </w:r>
            <w:r w:rsidR="005B1DF9">
              <w:rPr>
                <w:rFonts w:ascii="Source Sans Pro" w:eastAsia="Yu Gothic UI" w:hAnsi="Source Sans Pro"/>
                <w:bCs/>
                <w:color w:val="052D3F"/>
                <w:sz w:val="18"/>
                <w:szCs w:val="44"/>
              </w:rPr>
              <w:t>d</w:t>
            </w:r>
            <w:r w:rsidR="000227A0">
              <w:rPr>
                <w:rFonts w:ascii="Source Sans Pro" w:eastAsia="Yu Gothic UI" w:hAnsi="Source Sans Pro"/>
                <w:bCs/>
                <w:color w:val="052D3F"/>
                <w:sz w:val="18"/>
                <w:szCs w:val="44"/>
              </w:rPr>
              <w:t>. D</w:t>
            </w:r>
            <w:r>
              <w:rPr>
                <w:rFonts w:ascii="Source Sans Pro" w:eastAsia="Yu Gothic UI" w:hAnsi="Source Sans Pro"/>
                <w:bCs/>
                <w:color w:val="052D3F"/>
                <w:sz w:val="18"/>
                <w:szCs w:val="44"/>
              </w:rPr>
              <w:t>emand strongest across creative production and creative service</w:t>
            </w:r>
          </w:p>
        </w:tc>
        <w:tc>
          <w:tcPr>
            <w:tcW w:w="2693"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53A47CAF" w14:textId="18BA7D1C" w:rsidR="002E5E45" w:rsidRPr="00C20BAD" w:rsidRDefault="002E5E45" w:rsidP="00631D81">
            <w:pPr>
              <w:pStyle w:val="TableTitleInTable"/>
              <w:tabs>
                <w:tab w:val="left" w:pos="687"/>
              </w:tabs>
              <w:spacing w:before="20" w:after="20"/>
              <w:rPr>
                <w:rFonts w:ascii="Source Sans Pro" w:eastAsia="Yu Gothic UI" w:hAnsi="Source Sans Pro"/>
                <w:bCs/>
                <w:color w:val="052D3F"/>
                <w:sz w:val="18"/>
                <w:szCs w:val="44"/>
                <w:lang w:val="en-US"/>
              </w:rPr>
            </w:pPr>
            <w:r w:rsidRPr="00C20BAD">
              <w:rPr>
                <w:rFonts w:ascii="Source Sans Pro" w:eastAsia="Yu Gothic UI" w:hAnsi="Source Sans Pro"/>
                <w:bCs/>
                <w:color w:val="052D3F"/>
                <w:sz w:val="18"/>
                <w:szCs w:val="44"/>
              </w:rPr>
              <w:t>500 businesses starts ups last year</w:t>
            </w:r>
            <w:r>
              <w:rPr>
                <w:rFonts w:ascii="Source Sans Pro" w:eastAsia="Yu Gothic UI" w:hAnsi="Source Sans Pro"/>
                <w:bCs/>
                <w:color w:val="052D3F"/>
                <w:sz w:val="18"/>
                <w:szCs w:val="44"/>
              </w:rPr>
              <w:t xml:space="preserve"> in the Docks</w:t>
            </w:r>
            <w:r w:rsidRPr="00C20BAD">
              <w:rPr>
                <w:rFonts w:ascii="Source Sans Pro" w:eastAsia="Yu Gothic UI" w:hAnsi="Source Sans Pro"/>
                <w:bCs/>
                <w:color w:val="052D3F"/>
                <w:sz w:val="18"/>
                <w:szCs w:val="44"/>
              </w:rPr>
              <w:t>; average size of 5 after 5 year</w:t>
            </w:r>
            <w:r w:rsidR="000227A0">
              <w:rPr>
                <w:rFonts w:ascii="Source Sans Pro" w:eastAsia="Yu Gothic UI" w:hAnsi="Source Sans Pro"/>
                <w:bCs/>
                <w:color w:val="052D3F"/>
                <w:sz w:val="18"/>
                <w:szCs w:val="44"/>
              </w:rPr>
              <w:t>s</w:t>
            </w:r>
            <w:r>
              <w:rPr>
                <w:rFonts w:ascii="Source Sans Pro" w:eastAsia="Yu Gothic UI" w:hAnsi="Source Sans Pro"/>
                <w:bCs/>
                <w:color w:val="052D3F"/>
                <w:sz w:val="18"/>
                <w:szCs w:val="44"/>
              </w:rPr>
              <w:t xml:space="preserve"> – equating to 25,000 jobs over a decade. B</w:t>
            </w:r>
            <w:r w:rsidRPr="00C20BAD">
              <w:rPr>
                <w:rFonts w:ascii="Source Sans Pro" w:eastAsia="Yu Gothic UI" w:hAnsi="Source Sans Pro"/>
                <w:bCs/>
                <w:color w:val="052D3F"/>
                <w:sz w:val="18"/>
                <w:szCs w:val="44"/>
              </w:rPr>
              <w:t xml:space="preserve">ut </w:t>
            </w:r>
            <w:r>
              <w:rPr>
                <w:rFonts w:ascii="Source Sans Pro" w:eastAsia="Yu Gothic UI" w:hAnsi="Source Sans Pro"/>
                <w:bCs/>
                <w:color w:val="052D3F"/>
                <w:sz w:val="18"/>
                <w:szCs w:val="44"/>
              </w:rPr>
              <w:t xml:space="preserve">in reality, on average </w:t>
            </w:r>
            <w:r w:rsidRPr="00C20BAD">
              <w:rPr>
                <w:rFonts w:ascii="Source Sans Pro" w:eastAsia="Yu Gothic UI" w:hAnsi="Source Sans Pro"/>
                <w:bCs/>
                <w:color w:val="052D3F"/>
                <w:sz w:val="18"/>
                <w:szCs w:val="44"/>
              </w:rPr>
              <w:t>only a third survive past 5 years, and many will ‘grow’ on elsewhere</w:t>
            </w:r>
            <w:r>
              <w:rPr>
                <w:rFonts w:ascii="Source Sans Pro" w:eastAsia="Yu Gothic UI" w:hAnsi="Source Sans Pro"/>
                <w:bCs/>
                <w:color w:val="052D3F"/>
                <w:sz w:val="18"/>
                <w:szCs w:val="44"/>
              </w:rPr>
              <w:t>.</w:t>
            </w:r>
          </w:p>
        </w:tc>
        <w:tc>
          <w:tcPr>
            <w:tcW w:w="2891" w:type="dxa"/>
            <w:tcBorders>
              <w:top w:val="single" w:sz="8" w:space="0" w:color="FF5000" w:themeColor="accent6"/>
              <w:left w:val="nil"/>
              <w:bottom w:val="single" w:sz="8" w:space="0" w:color="FF5000" w:themeColor="accent6"/>
              <w:right w:val="nil"/>
            </w:tcBorders>
            <w:shd w:val="clear" w:color="auto" w:fill="F2F2F2" w:themeFill="background1" w:themeFillShade="F2"/>
            <w:vAlign w:val="center"/>
          </w:tcPr>
          <w:p w14:paraId="68503969" w14:textId="2F6EFBFC" w:rsidR="002E5E45" w:rsidRPr="00C20BAD" w:rsidRDefault="00B74B33" w:rsidP="00631D81">
            <w:pPr>
              <w:pStyle w:val="TableTitleInTable"/>
              <w:spacing w:before="20" w:after="20"/>
              <w:rPr>
                <w:sz w:val="18"/>
              </w:rPr>
            </w:pPr>
            <w:r w:rsidRPr="000B2A17">
              <w:rPr>
                <w:rFonts w:ascii="Source Sans Pro" w:eastAsia="Yu Gothic UI" w:hAnsi="Source Sans Pro"/>
                <w:bCs/>
                <w:color w:val="052D3F"/>
                <w:sz w:val="18"/>
                <w:szCs w:val="44"/>
              </w:rPr>
              <w:t>Working with developers</w:t>
            </w:r>
            <w:r w:rsidR="000B2A17">
              <w:rPr>
                <w:rFonts w:ascii="Source Sans Pro" w:eastAsia="Yu Gothic UI" w:hAnsi="Source Sans Pro"/>
                <w:bCs/>
                <w:color w:val="052D3F"/>
                <w:sz w:val="18"/>
                <w:szCs w:val="44"/>
              </w:rPr>
              <w:t xml:space="preserve"> and workspace operators</w:t>
            </w:r>
            <w:r w:rsidRPr="000B2A17">
              <w:rPr>
                <w:rFonts w:ascii="Source Sans Pro" w:eastAsia="Yu Gothic UI" w:hAnsi="Source Sans Pro"/>
                <w:bCs/>
                <w:color w:val="052D3F"/>
                <w:sz w:val="18"/>
                <w:szCs w:val="44"/>
              </w:rPr>
              <w:t xml:space="preserve"> to ensure pipeline of workspace at a variety of specifications and price</w:t>
            </w:r>
            <w:r w:rsidR="000B2A17">
              <w:rPr>
                <w:rFonts w:ascii="Source Sans Pro" w:eastAsia="Yu Gothic UI" w:hAnsi="Source Sans Pro"/>
                <w:bCs/>
                <w:color w:val="052D3F"/>
                <w:sz w:val="18"/>
                <w:szCs w:val="44"/>
              </w:rPr>
              <w:t xml:space="preserve"> </w:t>
            </w:r>
            <w:r w:rsidRPr="000B2A17">
              <w:rPr>
                <w:rFonts w:ascii="Source Sans Pro" w:eastAsia="Yu Gothic UI" w:hAnsi="Source Sans Pro"/>
                <w:bCs/>
                <w:color w:val="052D3F"/>
                <w:sz w:val="18"/>
                <w:szCs w:val="44"/>
              </w:rPr>
              <w:t>points; focused support for start-up and scale up</w:t>
            </w:r>
            <w:r w:rsidR="000B2A17" w:rsidRPr="000B2A17">
              <w:rPr>
                <w:rFonts w:ascii="Source Sans Pro" w:eastAsia="Yu Gothic UI" w:hAnsi="Source Sans Pro"/>
                <w:bCs/>
                <w:color w:val="052D3F"/>
                <w:sz w:val="18"/>
                <w:szCs w:val="44"/>
              </w:rPr>
              <w:t>; focus on longevity and embeddedness</w:t>
            </w:r>
            <w:r w:rsidR="000B2A17">
              <w:rPr>
                <w:rFonts w:ascii="Source Sans Pro" w:eastAsia="Yu Gothic UI" w:hAnsi="Source Sans Pro"/>
                <w:bCs/>
                <w:color w:val="052D3F"/>
                <w:sz w:val="18"/>
                <w:szCs w:val="44"/>
              </w:rPr>
              <w:t>.</w:t>
            </w:r>
          </w:p>
        </w:tc>
      </w:tr>
      <w:tr w:rsidR="00971596" w:rsidRPr="00F72A73" w14:paraId="0F73DB6C" w14:textId="2707D0AE" w:rsidTr="00D13810">
        <w:trPr>
          <w:trHeight w:val="239"/>
        </w:trPr>
        <w:tc>
          <w:tcPr>
            <w:tcW w:w="1418"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7402600A" w14:textId="77777777" w:rsidR="00115881" w:rsidRDefault="002E5E45" w:rsidP="00631D81">
            <w:pPr>
              <w:pStyle w:val="TableTitleInTable"/>
              <w:spacing w:before="20" w:after="20"/>
              <w:jc w:val="center"/>
              <w:rPr>
                <w:rFonts w:ascii="Source Sans Pro" w:eastAsia="Yu Gothic UI" w:hAnsi="Source Sans Pro"/>
                <w:b/>
                <w:bCs/>
                <w:color w:val="052D3F" w:themeColor="accent1"/>
                <w:sz w:val="18"/>
                <w:szCs w:val="44"/>
              </w:rPr>
            </w:pPr>
            <w:r w:rsidRPr="008D71AD">
              <w:rPr>
                <w:rFonts w:ascii="Source Sans Pro" w:eastAsia="Yu Gothic UI" w:hAnsi="Source Sans Pro"/>
                <w:b/>
                <w:bCs/>
                <w:color w:val="052D3F" w:themeColor="accent1"/>
                <w:sz w:val="18"/>
                <w:szCs w:val="44"/>
              </w:rPr>
              <w:t xml:space="preserve">4. </w:t>
            </w:r>
          </w:p>
          <w:p w14:paraId="14A58748" w14:textId="07E4EA6F" w:rsidR="002E5E45" w:rsidRPr="00C20BAD" w:rsidRDefault="002E5E45" w:rsidP="00631D81">
            <w:pPr>
              <w:pStyle w:val="TableTitleInTable"/>
              <w:spacing w:before="20" w:after="20"/>
              <w:jc w:val="center"/>
              <w:rPr>
                <w:rFonts w:ascii="Source Sans Pro" w:eastAsia="Yu Gothic UI" w:hAnsi="Source Sans Pro"/>
                <w:b/>
                <w:bCs/>
                <w:color w:val="052D3F" w:themeColor="accent1"/>
                <w:sz w:val="18"/>
                <w:szCs w:val="44"/>
                <w:lang w:val="en-US"/>
              </w:rPr>
            </w:pPr>
            <w:r>
              <w:rPr>
                <w:rFonts w:ascii="Source Sans Pro" w:eastAsia="Yu Gothic UI" w:hAnsi="Source Sans Pro"/>
                <w:b/>
                <w:bCs/>
                <w:color w:val="052D3F" w:themeColor="accent1"/>
                <w:sz w:val="18"/>
                <w:szCs w:val="44"/>
              </w:rPr>
              <w:t>Inward i</w:t>
            </w:r>
            <w:r w:rsidRPr="008D71AD">
              <w:rPr>
                <w:rFonts w:ascii="Source Sans Pro" w:eastAsia="Yu Gothic UI" w:hAnsi="Source Sans Pro"/>
                <w:b/>
                <w:bCs/>
                <w:color w:val="052D3F" w:themeColor="accent1"/>
                <w:sz w:val="18"/>
                <w:szCs w:val="44"/>
              </w:rPr>
              <w:t>nvestment: national</w:t>
            </w:r>
          </w:p>
        </w:tc>
        <w:tc>
          <w:tcPr>
            <w:tcW w:w="1701" w:type="dxa"/>
            <w:tcBorders>
              <w:top w:val="single" w:sz="8" w:space="0" w:color="FF5000" w:themeColor="accent6"/>
              <w:left w:val="nil"/>
              <w:bottom w:val="single" w:sz="8" w:space="0" w:color="FF5000" w:themeColor="accent6"/>
              <w:right w:val="nil"/>
            </w:tcBorders>
            <w:shd w:val="clear" w:color="auto" w:fill="auto"/>
            <w:vAlign w:val="center"/>
          </w:tcPr>
          <w:p w14:paraId="25A418CF" w14:textId="1D36CFB1" w:rsidR="002E5E45" w:rsidRPr="00C20BAD" w:rsidRDefault="002E5E45" w:rsidP="00631D81">
            <w:pPr>
              <w:pStyle w:val="TableTitleInTable"/>
              <w:spacing w:before="20" w:after="20"/>
              <w:rPr>
                <w:rFonts w:ascii="Source Sans Pro" w:eastAsia="Yu Gothic UI" w:hAnsi="Source Sans Pro"/>
                <w:bCs/>
                <w:color w:val="052D3F"/>
                <w:sz w:val="18"/>
                <w:szCs w:val="44"/>
              </w:rPr>
            </w:pPr>
            <w:r>
              <w:rPr>
                <w:rFonts w:ascii="Source Sans Pro" w:eastAsia="Yu Gothic UI" w:hAnsi="Source Sans Pro"/>
                <w:bCs/>
                <w:color w:val="052D3F"/>
                <w:sz w:val="18"/>
                <w:szCs w:val="44"/>
              </w:rPr>
              <w:t>Mix – could be large scale business / institutions or smaller scale enterprises looking to relocate or grow</w:t>
            </w:r>
          </w:p>
        </w:tc>
        <w:tc>
          <w:tcPr>
            <w:tcW w:w="2693"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hideMark/>
          </w:tcPr>
          <w:p w14:paraId="7C1F3D5E" w14:textId="66C8F684" w:rsidR="002E5E45" w:rsidRPr="001E4E0F" w:rsidRDefault="002E5E45" w:rsidP="00631D81">
            <w:pPr>
              <w:pStyle w:val="TableTitleInTable"/>
              <w:spacing w:before="20" w:after="20"/>
              <w:rPr>
                <w:rFonts w:ascii="Source Sans Pro" w:eastAsia="Yu Gothic UI" w:hAnsi="Source Sans Pro"/>
                <w:bCs/>
                <w:color w:val="052D3F"/>
                <w:sz w:val="18"/>
                <w:szCs w:val="44"/>
                <w:lang w:val="en-US"/>
              </w:rPr>
            </w:pPr>
            <w:r w:rsidRPr="001E4E0F">
              <w:rPr>
                <w:rFonts w:ascii="Source Sans Pro" w:eastAsia="Yu Gothic UI" w:hAnsi="Source Sans Pro"/>
                <w:bCs/>
                <w:color w:val="052D3F"/>
                <w:sz w:val="18"/>
                <w:szCs w:val="44"/>
              </w:rPr>
              <w:t>Continuing eastward movement of</w:t>
            </w:r>
            <w:r w:rsidR="000227A0">
              <w:rPr>
                <w:rFonts w:ascii="Source Sans Pro" w:eastAsia="Yu Gothic UI" w:hAnsi="Source Sans Pro"/>
                <w:bCs/>
                <w:color w:val="052D3F"/>
                <w:sz w:val="18"/>
                <w:szCs w:val="44"/>
              </w:rPr>
              <w:t xml:space="preserve"> London</w:t>
            </w:r>
            <w:r w:rsidRPr="001E4E0F">
              <w:rPr>
                <w:rFonts w:ascii="Source Sans Pro" w:eastAsia="Yu Gothic UI" w:hAnsi="Source Sans Pro"/>
                <w:bCs/>
                <w:color w:val="052D3F"/>
                <w:sz w:val="18"/>
                <w:szCs w:val="44"/>
              </w:rPr>
              <w:t xml:space="preserve"> economy</w:t>
            </w:r>
            <w:r w:rsidR="008A4A92">
              <w:rPr>
                <w:rFonts w:ascii="Source Sans Pro" w:eastAsia="Yu Gothic UI" w:hAnsi="Source Sans Pro"/>
                <w:bCs/>
                <w:color w:val="052D3F"/>
                <w:sz w:val="18"/>
                <w:szCs w:val="44"/>
              </w:rPr>
              <w:t>:</w:t>
            </w:r>
            <w:r w:rsidRPr="001E4E0F">
              <w:rPr>
                <w:rFonts w:ascii="Source Sans Pro" w:eastAsia="Yu Gothic UI" w:hAnsi="Source Sans Pro"/>
                <w:bCs/>
                <w:color w:val="052D3F"/>
                <w:sz w:val="18"/>
                <w:szCs w:val="44"/>
              </w:rPr>
              <w:t xml:space="preserve"> both SMEs &amp; larger firms</w:t>
            </w:r>
            <w:r w:rsidR="00F54D05">
              <w:rPr>
                <w:rFonts w:ascii="Source Sans Pro" w:eastAsia="Yu Gothic UI" w:hAnsi="Source Sans Pro"/>
                <w:bCs/>
                <w:color w:val="052D3F"/>
                <w:sz w:val="18"/>
                <w:szCs w:val="44"/>
              </w:rPr>
              <w:t xml:space="preserve">. </w:t>
            </w:r>
            <w:r w:rsidR="004F4CF3">
              <w:rPr>
                <w:rFonts w:ascii="Source Sans Pro" w:eastAsia="Yu Gothic UI" w:hAnsi="Source Sans Pro"/>
                <w:bCs/>
                <w:color w:val="052D3F"/>
                <w:sz w:val="18"/>
                <w:szCs w:val="44"/>
              </w:rPr>
              <w:t>(</w:t>
            </w:r>
            <w:r w:rsidR="00F54D05">
              <w:rPr>
                <w:rFonts w:ascii="Source Sans Pro" w:eastAsia="Yu Gothic UI" w:hAnsi="Source Sans Pro"/>
                <w:bCs/>
                <w:color w:val="052D3F"/>
                <w:sz w:val="18"/>
                <w:szCs w:val="44"/>
              </w:rPr>
              <w:t xml:space="preserve">e.g. </w:t>
            </w:r>
            <w:r>
              <w:rPr>
                <w:rFonts w:ascii="Source Sans Pro" w:eastAsia="Yu Gothic UI" w:hAnsi="Source Sans Pro"/>
                <w:bCs/>
                <w:color w:val="052D3F"/>
                <w:sz w:val="18"/>
                <w:szCs w:val="44"/>
              </w:rPr>
              <w:t xml:space="preserve">Stratford </w:t>
            </w:r>
            <w:r w:rsidR="00847894">
              <w:rPr>
                <w:rFonts w:ascii="Source Sans Pro" w:eastAsia="Yu Gothic UI" w:hAnsi="Source Sans Pro"/>
                <w:bCs/>
                <w:color w:val="052D3F"/>
                <w:sz w:val="18"/>
                <w:szCs w:val="44"/>
              </w:rPr>
              <w:t xml:space="preserve">in </w:t>
            </w:r>
            <w:r>
              <w:rPr>
                <w:rFonts w:ascii="Source Sans Pro" w:eastAsia="Yu Gothic UI" w:hAnsi="Source Sans Pro"/>
                <w:bCs/>
                <w:color w:val="052D3F"/>
                <w:sz w:val="18"/>
                <w:szCs w:val="44"/>
              </w:rPr>
              <w:t xml:space="preserve">attracting </w:t>
            </w:r>
            <w:r w:rsidR="00350BD2">
              <w:rPr>
                <w:rFonts w:ascii="Source Sans Pro" w:eastAsia="Yu Gothic UI" w:hAnsi="Source Sans Pro"/>
                <w:bCs/>
                <w:color w:val="052D3F"/>
                <w:sz w:val="18"/>
                <w:szCs w:val="44"/>
              </w:rPr>
              <w:t>institutions</w:t>
            </w:r>
            <w:r w:rsidR="004F4CF3">
              <w:rPr>
                <w:rFonts w:ascii="Source Sans Pro" w:eastAsia="Yu Gothic UI" w:hAnsi="Source Sans Pro"/>
                <w:bCs/>
                <w:color w:val="052D3F"/>
                <w:sz w:val="18"/>
                <w:szCs w:val="44"/>
              </w:rPr>
              <w:t xml:space="preserve">, inc. </w:t>
            </w:r>
            <w:r w:rsidR="00F54D05">
              <w:rPr>
                <w:rFonts w:ascii="Source Sans Pro" w:eastAsia="Yu Gothic UI" w:hAnsi="Source Sans Pro"/>
                <w:bCs/>
                <w:color w:val="052D3F"/>
                <w:sz w:val="18"/>
                <w:szCs w:val="44"/>
              </w:rPr>
              <w:t xml:space="preserve">c.2,500 jobs </w:t>
            </w:r>
            <w:r w:rsidR="004F4CF3">
              <w:rPr>
                <w:rFonts w:ascii="Source Sans Pro" w:eastAsia="Yu Gothic UI" w:hAnsi="Source Sans Pro"/>
                <w:bCs/>
                <w:color w:val="052D3F"/>
                <w:sz w:val="18"/>
                <w:szCs w:val="44"/>
              </w:rPr>
              <w:t>at</w:t>
            </w:r>
            <w:r w:rsidR="00F54D05">
              <w:rPr>
                <w:rFonts w:ascii="Source Sans Pro" w:eastAsia="Yu Gothic UI" w:hAnsi="Source Sans Pro"/>
                <w:bCs/>
                <w:color w:val="052D3F"/>
                <w:sz w:val="18"/>
                <w:szCs w:val="44"/>
              </w:rPr>
              <w:t xml:space="preserve"> East Bank)</w:t>
            </w:r>
            <w:r>
              <w:rPr>
                <w:rFonts w:ascii="Source Sans Pro" w:eastAsia="Yu Gothic UI" w:hAnsi="Source Sans Pro"/>
                <w:bCs/>
                <w:color w:val="052D3F"/>
                <w:sz w:val="18"/>
                <w:szCs w:val="44"/>
              </w:rPr>
              <w:t xml:space="preserve">. </w:t>
            </w:r>
            <w:r w:rsidR="00847894">
              <w:rPr>
                <w:rFonts w:ascii="Source Sans Pro" w:eastAsia="Yu Gothic UI" w:hAnsi="Source Sans Pro"/>
                <w:bCs/>
                <w:color w:val="052D3F"/>
                <w:sz w:val="18"/>
                <w:szCs w:val="44"/>
              </w:rPr>
              <w:t>But</w:t>
            </w:r>
            <w:r>
              <w:rPr>
                <w:rFonts w:ascii="Source Sans Pro" w:eastAsia="Yu Gothic UI" w:hAnsi="Source Sans Pro"/>
                <w:bCs/>
                <w:color w:val="052D3F"/>
                <w:sz w:val="18"/>
                <w:szCs w:val="44"/>
              </w:rPr>
              <w:t xml:space="preserve"> need to consider the net benefit to London (g</w:t>
            </w:r>
            <w:r w:rsidRPr="001E4E0F">
              <w:rPr>
                <w:rFonts w:ascii="Source Sans Pro" w:eastAsia="Yu Gothic UI" w:hAnsi="Source Sans Pro"/>
                <w:bCs/>
                <w:color w:val="052D3F"/>
                <w:sz w:val="18"/>
                <w:szCs w:val="44"/>
              </w:rPr>
              <w:t>rowth vs displacement</w:t>
            </w:r>
            <w:r w:rsidR="00350BD2">
              <w:rPr>
                <w:rFonts w:ascii="Source Sans Pro" w:eastAsia="Yu Gothic UI" w:hAnsi="Source Sans Pro"/>
                <w:bCs/>
                <w:color w:val="052D3F"/>
                <w:sz w:val="18"/>
                <w:szCs w:val="44"/>
              </w:rPr>
              <w:t xml:space="preserve"> of activity</w:t>
            </w:r>
            <w:r>
              <w:rPr>
                <w:rFonts w:ascii="Source Sans Pro" w:eastAsia="Yu Gothic UI" w:hAnsi="Source Sans Pro"/>
                <w:bCs/>
                <w:color w:val="052D3F"/>
                <w:sz w:val="18"/>
                <w:szCs w:val="44"/>
              </w:rPr>
              <w:t>)</w:t>
            </w:r>
          </w:p>
          <w:p w14:paraId="2D4392AD" w14:textId="6A07C525" w:rsidR="002E5E45" w:rsidRPr="00C20BAD" w:rsidRDefault="002E5E45" w:rsidP="00631D81">
            <w:pPr>
              <w:pStyle w:val="TableTitleInTable"/>
              <w:spacing w:before="20" w:after="20"/>
              <w:rPr>
                <w:rFonts w:ascii="Source Sans Pro" w:eastAsia="Yu Gothic UI" w:hAnsi="Source Sans Pro"/>
                <w:bCs/>
                <w:color w:val="052D3F"/>
                <w:sz w:val="18"/>
                <w:szCs w:val="44"/>
                <w:lang w:val="en-US"/>
              </w:rPr>
            </w:pPr>
          </w:p>
        </w:tc>
        <w:tc>
          <w:tcPr>
            <w:tcW w:w="2891" w:type="dxa"/>
            <w:tcBorders>
              <w:top w:val="single" w:sz="8" w:space="0" w:color="FF5000" w:themeColor="accent6"/>
              <w:left w:val="nil"/>
              <w:bottom w:val="single" w:sz="8" w:space="0" w:color="FF5000" w:themeColor="accent6"/>
              <w:right w:val="nil"/>
            </w:tcBorders>
            <w:shd w:val="clear" w:color="auto" w:fill="F2F2F2" w:themeFill="background1" w:themeFillShade="F2"/>
            <w:vAlign w:val="center"/>
          </w:tcPr>
          <w:p w14:paraId="145EAF32" w14:textId="612D156F" w:rsidR="002E5E45" w:rsidRPr="00C20BAD" w:rsidRDefault="0030429D" w:rsidP="00631D81">
            <w:pPr>
              <w:pStyle w:val="TableTitleInTable"/>
              <w:spacing w:before="20" w:after="20"/>
              <w:rPr>
                <w:sz w:val="18"/>
              </w:rPr>
            </w:pPr>
            <w:r>
              <w:rPr>
                <w:rFonts w:ascii="Source Sans Pro" w:eastAsia="Yu Gothic UI" w:hAnsi="Source Sans Pro"/>
                <w:bCs/>
                <w:color w:val="052D3F"/>
                <w:sz w:val="18"/>
                <w:szCs w:val="44"/>
              </w:rPr>
              <w:t xml:space="preserve">Curation of workspace supply to meet needs of </w:t>
            </w:r>
            <w:r w:rsidR="008F461A">
              <w:rPr>
                <w:rFonts w:ascii="Source Sans Pro" w:eastAsia="Yu Gothic UI" w:hAnsi="Source Sans Pro"/>
                <w:bCs/>
                <w:color w:val="052D3F"/>
                <w:sz w:val="18"/>
                <w:szCs w:val="44"/>
              </w:rPr>
              <w:t>creative enterprise; collaborative work with city</w:t>
            </w:r>
            <w:r w:rsidR="00445D2E">
              <w:rPr>
                <w:rFonts w:ascii="Source Sans Pro" w:eastAsia="Yu Gothic UI" w:hAnsi="Source Sans Pro"/>
                <w:bCs/>
                <w:color w:val="052D3F"/>
                <w:sz w:val="18"/>
                <w:szCs w:val="44"/>
              </w:rPr>
              <w:t xml:space="preserve"> partners to identify possible institutional anchors;</w:t>
            </w:r>
            <w:r>
              <w:rPr>
                <w:rFonts w:ascii="Source Sans Pro" w:eastAsia="Yu Gothic UI" w:hAnsi="Source Sans Pro"/>
                <w:bCs/>
                <w:color w:val="052D3F"/>
                <w:sz w:val="18"/>
                <w:szCs w:val="44"/>
              </w:rPr>
              <w:t xml:space="preserve"> focused support to help businesses put down roots.  </w:t>
            </w:r>
          </w:p>
        </w:tc>
      </w:tr>
      <w:tr w:rsidR="00971596" w:rsidRPr="00F72A73" w14:paraId="3A573A68" w14:textId="77777777" w:rsidTr="00D13810">
        <w:trPr>
          <w:trHeight w:val="239"/>
        </w:trPr>
        <w:tc>
          <w:tcPr>
            <w:tcW w:w="1418" w:type="dxa"/>
            <w:tcBorders>
              <w:top w:val="single" w:sz="8" w:space="0" w:color="FF5000" w:themeColor="accent6"/>
              <w:left w:val="nil"/>
              <w:bottom w:val="single" w:sz="18" w:space="0" w:color="08445E" w:themeColor="accent2"/>
              <w:right w:val="nil"/>
            </w:tcBorders>
            <w:shd w:val="clear" w:color="auto" w:fill="auto"/>
            <w:tcMar>
              <w:top w:w="72" w:type="dxa"/>
              <w:left w:w="144" w:type="dxa"/>
              <w:bottom w:w="72" w:type="dxa"/>
              <w:right w:w="144" w:type="dxa"/>
            </w:tcMar>
            <w:vAlign w:val="center"/>
          </w:tcPr>
          <w:p w14:paraId="7D33FA4E" w14:textId="77777777" w:rsidR="00115881" w:rsidRDefault="002E5E45" w:rsidP="00631D81">
            <w:pPr>
              <w:pStyle w:val="TableTitleInTable"/>
              <w:spacing w:before="20" w:after="20"/>
              <w:jc w:val="center"/>
              <w:rPr>
                <w:rFonts w:ascii="Source Sans Pro" w:eastAsia="Yu Gothic UI" w:hAnsi="Source Sans Pro"/>
                <w:b/>
                <w:bCs/>
                <w:color w:val="052D3F" w:themeColor="accent1"/>
                <w:sz w:val="18"/>
                <w:szCs w:val="44"/>
              </w:rPr>
            </w:pPr>
            <w:r w:rsidRPr="001E4E0F">
              <w:rPr>
                <w:rFonts w:ascii="Source Sans Pro" w:eastAsia="Yu Gothic UI" w:hAnsi="Source Sans Pro"/>
                <w:b/>
                <w:bCs/>
                <w:color w:val="052D3F" w:themeColor="accent1"/>
                <w:sz w:val="18"/>
                <w:szCs w:val="44"/>
              </w:rPr>
              <w:t xml:space="preserve">5. </w:t>
            </w:r>
          </w:p>
          <w:p w14:paraId="057EE530" w14:textId="2AD6602A" w:rsidR="002E5E45" w:rsidRPr="00C20BAD" w:rsidRDefault="002E5E45" w:rsidP="00631D81">
            <w:pPr>
              <w:pStyle w:val="TableTitleInTable"/>
              <w:spacing w:before="20" w:after="20"/>
              <w:jc w:val="center"/>
              <w:rPr>
                <w:rFonts w:ascii="Source Sans Pro" w:eastAsia="Yu Gothic UI" w:hAnsi="Source Sans Pro"/>
                <w:b/>
                <w:bCs/>
                <w:color w:val="052D3F" w:themeColor="accent1"/>
                <w:sz w:val="18"/>
                <w:szCs w:val="44"/>
              </w:rPr>
            </w:pPr>
            <w:r w:rsidRPr="001E4E0F">
              <w:rPr>
                <w:rFonts w:ascii="Source Sans Pro" w:eastAsia="Yu Gothic UI" w:hAnsi="Source Sans Pro"/>
                <w:b/>
                <w:bCs/>
                <w:color w:val="052D3F" w:themeColor="accent1"/>
                <w:sz w:val="18"/>
                <w:szCs w:val="44"/>
              </w:rPr>
              <w:t>I</w:t>
            </w:r>
            <w:r>
              <w:rPr>
                <w:rFonts w:ascii="Source Sans Pro" w:eastAsia="Yu Gothic UI" w:hAnsi="Source Sans Pro"/>
                <w:b/>
                <w:bCs/>
                <w:color w:val="052D3F" w:themeColor="accent1"/>
                <w:sz w:val="18"/>
                <w:szCs w:val="44"/>
              </w:rPr>
              <w:t>nward i</w:t>
            </w:r>
            <w:r w:rsidRPr="001E4E0F">
              <w:rPr>
                <w:rFonts w:ascii="Source Sans Pro" w:eastAsia="Yu Gothic UI" w:hAnsi="Source Sans Pro"/>
                <w:b/>
                <w:bCs/>
                <w:color w:val="052D3F" w:themeColor="accent1"/>
                <w:sz w:val="18"/>
                <w:szCs w:val="44"/>
              </w:rPr>
              <w:t>nvestment: international</w:t>
            </w:r>
          </w:p>
        </w:tc>
        <w:tc>
          <w:tcPr>
            <w:tcW w:w="1701" w:type="dxa"/>
            <w:tcBorders>
              <w:top w:val="single" w:sz="8" w:space="0" w:color="FF5000" w:themeColor="accent6"/>
              <w:left w:val="nil"/>
              <w:bottom w:val="single" w:sz="18" w:space="0" w:color="08445E" w:themeColor="accent2"/>
              <w:right w:val="nil"/>
            </w:tcBorders>
            <w:shd w:val="clear" w:color="auto" w:fill="auto"/>
            <w:vAlign w:val="center"/>
          </w:tcPr>
          <w:p w14:paraId="21A86DC9" w14:textId="733619DD" w:rsidR="002E5E45" w:rsidRPr="00C20BAD" w:rsidRDefault="002E5E45" w:rsidP="00631D81">
            <w:pPr>
              <w:pStyle w:val="TableTitleInTable"/>
              <w:spacing w:before="20" w:after="20"/>
              <w:rPr>
                <w:rFonts w:ascii="Source Sans Pro" w:eastAsia="Yu Gothic UI" w:hAnsi="Source Sans Pro"/>
                <w:bCs/>
                <w:color w:val="052D3F"/>
                <w:sz w:val="18"/>
                <w:szCs w:val="44"/>
              </w:rPr>
            </w:pPr>
            <w:r>
              <w:rPr>
                <w:rFonts w:ascii="Source Sans Pro" w:eastAsia="Yu Gothic UI" w:hAnsi="Source Sans Pro"/>
                <w:bCs/>
                <w:color w:val="052D3F"/>
                <w:sz w:val="18"/>
                <w:szCs w:val="44"/>
              </w:rPr>
              <w:t>Mix – could be larger or smaller scale businesses looking to touch down in London / UK</w:t>
            </w:r>
          </w:p>
        </w:tc>
        <w:tc>
          <w:tcPr>
            <w:tcW w:w="2693" w:type="dxa"/>
            <w:tcBorders>
              <w:top w:val="single" w:sz="8" w:space="0" w:color="FF5000" w:themeColor="accent6"/>
              <w:left w:val="nil"/>
              <w:bottom w:val="single" w:sz="18" w:space="0" w:color="08445E" w:themeColor="accent2"/>
              <w:right w:val="nil"/>
            </w:tcBorders>
            <w:shd w:val="clear" w:color="auto" w:fill="auto"/>
            <w:tcMar>
              <w:top w:w="72" w:type="dxa"/>
              <w:left w:w="144" w:type="dxa"/>
              <w:bottom w:w="72" w:type="dxa"/>
              <w:right w:w="144" w:type="dxa"/>
            </w:tcMar>
            <w:vAlign w:val="center"/>
          </w:tcPr>
          <w:p w14:paraId="702B0A72" w14:textId="1F90513C" w:rsidR="002E5E45" w:rsidRPr="00C20BAD" w:rsidRDefault="002E5E45" w:rsidP="00631D81">
            <w:pPr>
              <w:pStyle w:val="TableTitleInTable"/>
              <w:spacing w:before="20" w:after="20"/>
              <w:rPr>
                <w:sz w:val="18"/>
                <w:lang w:val="en-US"/>
              </w:rPr>
            </w:pPr>
            <w:r w:rsidRPr="001E4E0F">
              <w:rPr>
                <w:rFonts w:ascii="Source Sans Pro" w:eastAsia="Yu Gothic UI" w:hAnsi="Source Sans Pro"/>
                <w:bCs/>
                <w:color w:val="052D3F"/>
                <w:sz w:val="18"/>
                <w:szCs w:val="44"/>
              </w:rPr>
              <w:t xml:space="preserve">Average size of investment to the UK is </w:t>
            </w:r>
            <w:r w:rsidR="00115881">
              <w:rPr>
                <w:rFonts w:ascii="Source Sans Pro" w:eastAsia="Yu Gothic UI" w:hAnsi="Source Sans Pro"/>
                <w:bCs/>
                <w:color w:val="052D3F"/>
                <w:sz w:val="18"/>
                <w:szCs w:val="44"/>
              </w:rPr>
              <w:t>relatively</w:t>
            </w:r>
            <w:r w:rsidR="001611BA">
              <w:rPr>
                <w:rFonts w:ascii="Source Sans Pro" w:eastAsia="Yu Gothic UI" w:hAnsi="Source Sans Pro"/>
                <w:bCs/>
                <w:color w:val="052D3F"/>
                <w:sz w:val="18"/>
                <w:szCs w:val="44"/>
              </w:rPr>
              <w:t xml:space="preserve"> small – </w:t>
            </w:r>
            <w:r w:rsidRPr="001E4E0F">
              <w:rPr>
                <w:rFonts w:ascii="Source Sans Pro" w:eastAsia="Yu Gothic UI" w:hAnsi="Source Sans Pro"/>
                <w:bCs/>
                <w:color w:val="052D3F"/>
                <w:sz w:val="18"/>
                <w:szCs w:val="44"/>
              </w:rPr>
              <w:t>36 jobs</w:t>
            </w:r>
            <w:r>
              <w:rPr>
                <w:rFonts w:ascii="Source Sans Pro" w:eastAsia="Yu Gothic UI" w:hAnsi="Source Sans Pro"/>
                <w:bCs/>
                <w:color w:val="052D3F"/>
                <w:sz w:val="18"/>
                <w:szCs w:val="44"/>
              </w:rPr>
              <w:t>. Important role</w:t>
            </w:r>
            <w:r w:rsidRPr="001E4E0F">
              <w:rPr>
                <w:rFonts w:ascii="Source Sans Pro" w:eastAsia="Yu Gothic UI" w:hAnsi="Source Sans Pro"/>
                <w:bCs/>
                <w:color w:val="052D3F"/>
                <w:sz w:val="18"/>
                <w:szCs w:val="44"/>
              </w:rPr>
              <w:t xml:space="preserve"> of transformational / ‘anchor’ investments</w:t>
            </w:r>
            <w:r>
              <w:rPr>
                <w:rFonts w:ascii="Source Sans Pro" w:eastAsia="Yu Gothic UI" w:hAnsi="Source Sans Pro"/>
                <w:bCs/>
                <w:color w:val="052D3F"/>
                <w:sz w:val="18"/>
                <w:szCs w:val="44"/>
              </w:rPr>
              <w:t xml:space="preserve">. e.g Google to King’s Cross, Apple to Nine Elms. </w:t>
            </w:r>
          </w:p>
        </w:tc>
        <w:tc>
          <w:tcPr>
            <w:tcW w:w="2891" w:type="dxa"/>
            <w:tcBorders>
              <w:top w:val="single" w:sz="8" w:space="0" w:color="FF5000" w:themeColor="accent6"/>
              <w:left w:val="nil"/>
              <w:bottom w:val="single" w:sz="18" w:space="0" w:color="08445E" w:themeColor="accent2"/>
              <w:right w:val="nil"/>
            </w:tcBorders>
            <w:shd w:val="clear" w:color="auto" w:fill="F2F2F2" w:themeFill="background1" w:themeFillShade="F2"/>
            <w:vAlign w:val="center"/>
          </w:tcPr>
          <w:p w14:paraId="3E3CB778" w14:textId="0C1D707E" w:rsidR="002E5E45" w:rsidRPr="00C20BAD" w:rsidRDefault="00D31404" w:rsidP="00631D81">
            <w:pPr>
              <w:pStyle w:val="TableTitleInTable"/>
              <w:spacing w:before="20" w:after="20"/>
              <w:rPr>
                <w:sz w:val="18"/>
              </w:rPr>
            </w:pPr>
            <w:r w:rsidRPr="00D31404">
              <w:rPr>
                <w:rFonts w:ascii="Source Sans Pro" w:eastAsia="Yu Gothic UI" w:hAnsi="Source Sans Pro"/>
                <w:bCs/>
                <w:color w:val="052D3F"/>
                <w:sz w:val="18"/>
                <w:szCs w:val="44"/>
              </w:rPr>
              <w:t xml:space="preserve">Focused work with London </w:t>
            </w:r>
            <w:r w:rsidR="00631D81">
              <w:rPr>
                <w:rFonts w:ascii="Source Sans Pro" w:eastAsia="Yu Gothic UI" w:hAnsi="Source Sans Pro"/>
                <w:bCs/>
                <w:color w:val="052D3F"/>
                <w:sz w:val="18"/>
                <w:szCs w:val="44"/>
              </w:rPr>
              <w:t>&amp;</w:t>
            </w:r>
            <w:r w:rsidRPr="00D31404">
              <w:rPr>
                <w:rFonts w:ascii="Source Sans Pro" w:eastAsia="Yu Gothic UI" w:hAnsi="Source Sans Pro"/>
                <w:bCs/>
                <w:color w:val="052D3F"/>
                <w:sz w:val="18"/>
                <w:szCs w:val="44"/>
              </w:rPr>
              <w:t xml:space="preserve"> Partners to</w:t>
            </w:r>
            <w:r w:rsidR="001A7EB8">
              <w:rPr>
                <w:rFonts w:ascii="Source Sans Pro" w:eastAsia="Yu Gothic UI" w:hAnsi="Source Sans Pro"/>
                <w:bCs/>
                <w:color w:val="052D3F"/>
                <w:sz w:val="18"/>
                <w:szCs w:val="44"/>
              </w:rPr>
              <w:t xml:space="preserve"> sell the Royal Docks </w:t>
            </w:r>
            <w:r w:rsidR="00814C0D">
              <w:rPr>
                <w:rFonts w:ascii="Source Sans Pro" w:eastAsia="Yu Gothic UI" w:hAnsi="Source Sans Pro"/>
                <w:bCs/>
                <w:color w:val="052D3F"/>
                <w:sz w:val="18"/>
                <w:szCs w:val="44"/>
              </w:rPr>
              <w:t>opportunity, purpose and ethos</w:t>
            </w:r>
            <w:r w:rsidR="00EB25C2">
              <w:rPr>
                <w:rFonts w:ascii="Source Sans Pro" w:eastAsia="Yu Gothic UI" w:hAnsi="Source Sans Pro"/>
                <w:bCs/>
                <w:color w:val="052D3F"/>
                <w:sz w:val="18"/>
                <w:szCs w:val="44"/>
              </w:rPr>
              <w:t xml:space="preserve">, </w:t>
            </w:r>
            <w:r w:rsidR="00814C0D">
              <w:rPr>
                <w:rFonts w:ascii="Source Sans Pro" w:eastAsia="Yu Gothic UI" w:hAnsi="Source Sans Pro"/>
                <w:bCs/>
                <w:color w:val="052D3F"/>
                <w:sz w:val="18"/>
                <w:szCs w:val="44"/>
              </w:rPr>
              <w:t>target</w:t>
            </w:r>
            <w:r w:rsidR="00EB25C2">
              <w:rPr>
                <w:rFonts w:ascii="Source Sans Pro" w:eastAsia="Yu Gothic UI" w:hAnsi="Source Sans Pro"/>
                <w:bCs/>
                <w:color w:val="052D3F"/>
                <w:sz w:val="18"/>
                <w:szCs w:val="44"/>
              </w:rPr>
              <w:t>ing</w:t>
            </w:r>
            <w:r w:rsidR="00814C0D">
              <w:rPr>
                <w:rFonts w:ascii="Source Sans Pro" w:eastAsia="Yu Gothic UI" w:hAnsi="Source Sans Pro"/>
                <w:bCs/>
                <w:color w:val="052D3F"/>
                <w:sz w:val="18"/>
                <w:szCs w:val="44"/>
              </w:rPr>
              <w:t xml:space="preserve"> </w:t>
            </w:r>
            <w:r w:rsidR="00EB25C2">
              <w:rPr>
                <w:rFonts w:ascii="Source Sans Pro" w:eastAsia="Yu Gothic UI" w:hAnsi="Source Sans Pro"/>
                <w:bCs/>
                <w:color w:val="052D3F"/>
                <w:sz w:val="18"/>
                <w:szCs w:val="44"/>
              </w:rPr>
              <w:t xml:space="preserve">commitment and </w:t>
            </w:r>
            <w:r w:rsidR="00814C0D">
              <w:rPr>
                <w:rFonts w:ascii="Source Sans Pro" w:eastAsia="Yu Gothic UI" w:hAnsi="Source Sans Pro"/>
                <w:bCs/>
                <w:color w:val="052D3F"/>
                <w:sz w:val="18"/>
                <w:szCs w:val="44"/>
              </w:rPr>
              <w:t>investment from foreign owned enterprises</w:t>
            </w:r>
            <w:r w:rsidR="00EB25C2">
              <w:rPr>
                <w:rFonts w:ascii="Source Sans Pro" w:eastAsia="Yu Gothic UI" w:hAnsi="Source Sans Pro"/>
                <w:bCs/>
                <w:color w:val="052D3F"/>
                <w:sz w:val="18"/>
                <w:szCs w:val="44"/>
              </w:rPr>
              <w:t xml:space="preserve">; aftercare support to help </w:t>
            </w:r>
            <w:r w:rsidR="00445D2E">
              <w:rPr>
                <w:rFonts w:ascii="Source Sans Pro" w:eastAsia="Yu Gothic UI" w:hAnsi="Source Sans Pro"/>
                <w:bCs/>
                <w:color w:val="052D3F"/>
                <w:sz w:val="18"/>
                <w:szCs w:val="44"/>
              </w:rPr>
              <w:t>businesses put down roots.</w:t>
            </w:r>
            <w:r w:rsidR="00814C0D">
              <w:rPr>
                <w:rFonts w:ascii="Source Sans Pro" w:eastAsia="Yu Gothic UI" w:hAnsi="Source Sans Pro"/>
                <w:bCs/>
                <w:color w:val="052D3F"/>
                <w:sz w:val="18"/>
                <w:szCs w:val="44"/>
              </w:rPr>
              <w:t xml:space="preserve"> </w:t>
            </w:r>
            <w:r w:rsidR="001A7EB8">
              <w:rPr>
                <w:rFonts w:ascii="Source Sans Pro" w:eastAsia="Yu Gothic UI" w:hAnsi="Source Sans Pro"/>
                <w:bCs/>
                <w:color w:val="052D3F"/>
                <w:sz w:val="18"/>
                <w:szCs w:val="44"/>
              </w:rPr>
              <w:t xml:space="preserve"> </w:t>
            </w:r>
          </w:p>
        </w:tc>
      </w:tr>
    </w:tbl>
    <w:p w14:paraId="2321C3EB" w14:textId="210E7778" w:rsidR="00B62DA8" w:rsidRDefault="00196114" w:rsidP="00B62DA8">
      <w:pPr>
        <w:pStyle w:val="RDTier2"/>
      </w:pPr>
      <w:bookmarkStart w:id="20" w:name="_Toc20750099"/>
      <w:bookmarkStart w:id="21" w:name="_Toc20750212"/>
      <w:bookmarkStart w:id="22" w:name="_Toc20750266"/>
      <w:r>
        <w:lastRenderedPageBreak/>
        <w:t>Understanding</w:t>
      </w:r>
      <w:r w:rsidR="00B62DA8">
        <w:t xml:space="preserve"> </w:t>
      </w:r>
      <w:r>
        <w:t>External</w:t>
      </w:r>
      <w:r w:rsidR="00B62DA8">
        <w:t xml:space="preserve"> Drivers and Influencers</w:t>
      </w:r>
    </w:p>
    <w:p w14:paraId="05F78CDF" w14:textId="12E2524C" w:rsidR="00B62DA8" w:rsidRDefault="00E14F93" w:rsidP="00B62DA8">
      <w:pPr>
        <w:pStyle w:val="RDParagraph"/>
        <w:ind w:left="720"/>
      </w:pPr>
      <w:r>
        <w:t xml:space="preserve">The scale and </w:t>
      </w:r>
      <w:r w:rsidR="00196114">
        <w:t>long-term</w:t>
      </w:r>
      <w:r>
        <w:t xml:space="preserve"> nature of the opportunity at the Royal Docks means that consideration of (and alignment with) external</w:t>
      </w:r>
      <w:r w:rsidR="00196114">
        <w:t xml:space="preserve"> and macro</w:t>
      </w:r>
      <w:r w:rsidR="00CD2F07">
        <w:t>-level</w:t>
      </w:r>
      <w:r>
        <w:t xml:space="preserve"> drivers will be of crucial importance. </w:t>
      </w:r>
    </w:p>
    <w:p w14:paraId="6165D28E" w14:textId="5E1DD806" w:rsidR="00183E11" w:rsidRDefault="0053159B" w:rsidP="00B62DA8">
      <w:pPr>
        <w:pStyle w:val="RDParagraph"/>
        <w:ind w:left="720"/>
      </w:pPr>
      <w:r>
        <w:t>External drivers</w:t>
      </w:r>
      <w:r w:rsidR="00BB3085">
        <w:t xml:space="preserve"> will be broad</w:t>
      </w:r>
      <w:r w:rsidR="00CD2F07">
        <w:t xml:space="preserve"> in nature and </w:t>
      </w:r>
      <w:r w:rsidR="00BB3085">
        <w:t>diverse</w:t>
      </w:r>
      <w:r w:rsidR="00CD2F07">
        <w:t xml:space="preserve"> in s</w:t>
      </w:r>
      <w:r w:rsidR="00196114">
        <w:t>cale</w:t>
      </w:r>
      <w:r w:rsidR="00BB3F29">
        <w:t xml:space="preserve"> (</w:t>
      </w:r>
      <w:r w:rsidR="00196114">
        <w:t>ranging from the global down to the local</w:t>
      </w:r>
      <w:r w:rsidR="00BB3F29">
        <w:t>)</w:t>
      </w:r>
      <w:r w:rsidR="00BB3085">
        <w:t>, and will u</w:t>
      </w:r>
      <w:r w:rsidR="00196114">
        <w:t xml:space="preserve">ltimately </w:t>
      </w:r>
      <w:r w:rsidR="00BB3085">
        <w:t xml:space="preserve">play an </w:t>
      </w:r>
      <w:r w:rsidR="00183E11" w:rsidRPr="00183E11">
        <w:t xml:space="preserve">influential </w:t>
      </w:r>
      <w:r w:rsidR="00BB3085">
        <w:t>role in</w:t>
      </w:r>
      <w:r w:rsidR="00183E11" w:rsidRPr="00183E11">
        <w:t xml:space="preserve"> determining </w:t>
      </w:r>
      <w:r w:rsidR="00BB3085">
        <w:t xml:space="preserve">the </w:t>
      </w:r>
      <w:r w:rsidR="00183E11" w:rsidRPr="00183E11">
        <w:t xml:space="preserve">scale, speed and nature of growth </w:t>
      </w:r>
      <w:r w:rsidR="00BB3085">
        <w:t>within the Royal Docks.</w:t>
      </w:r>
    </w:p>
    <w:p w14:paraId="7B2D905B" w14:textId="433ADF69" w:rsidR="00F31CA2" w:rsidRDefault="00B074F5" w:rsidP="00B62DA8">
      <w:pPr>
        <w:pStyle w:val="RDParagraph"/>
        <w:ind w:left="720"/>
      </w:pPr>
      <w:r>
        <w:t xml:space="preserve">While some factors will bear a direct influence on the Royals Docks (such as planning policy), in other instances the </w:t>
      </w:r>
      <w:r w:rsidR="00347D8D">
        <w:t>influence</w:t>
      </w:r>
      <w:r>
        <w:t xml:space="preserve"> may be indirect (such as </w:t>
      </w:r>
      <w:r w:rsidR="00347D8D">
        <w:t>the relative success of competitor areas</w:t>
      </w:r>
      <w:r w:rsidR="00680845">
        <w:t xml:space="preserve"> in attracting anchor occupiers</w:t>
      </w:r>
      <w:r w:rsidR="00347D8D">
        <w:t>, and changing consumer demand and trends)</w:t>
      </w:r>
      <w:r w:rsidR="008A63AF">
        <w:t>.</w:t>
      </w:r>
    </w:p>
    <w:p w14:paraId="5A27B8A0" w14:textId="1E696F6B" w:rsidR="00AA768F" w:rsidRDefault="004D5C97" w:rsidP="00B62DA8">
      <w:pPr>
        <w:pStyle w:val="RDParagraph"/>
        <w:ind w:left="720"/>
      </w:pPr>
      <w:r>
        <w:t xml:space="preserve">Importantly, these drivers are highly dynamic and will change over time. </w:t>
      </w:r>
      <w:r w:rsidR="00C30057">
        <w:t>In the short term</w:t>
      </w:r>
      <w:r w:rsidR="000022C1">
        <w:t xml:space="preserve">, global economic uncertainty is perhaps the factor which has potential to exert most influence over the Royal Docks, impacting </w:t>
      </w:r>
      <w:r w:rsidR="00C60695">
        <w:t xml:space="preserve">on investor and developer confidence, particularly in terms of supply of and letting of commercial space. </w:t>
      </w:r>
      <w:r w:rsidR="00293831">
        <w:t xml:space="preserve">It is also important to note that delivery within the Royal Docks will take place across multiple planning </w:t>
      </w:r>
      <w:r w:rsidR="001C6E77">
        <w:t>and political cycles</w:t>
      </w:r>
      <w:r w:rsidR="00293831">
        <w:t xml:space="preserve"> (</w:t>
      </w:r>
      <w:r w:rsidR="00A87DEE">
        <w:t xml:space="preserve">locally, and across </w:t>
      </w:r>
      <w:r w:rsidR="00293831">
        <w:t xml:space="preserve">London </w:t>
      </w:r>
      <w:r w:rsidR="00A87DEE">
        <w:t>the UK)</w:t>
      </w:r>
      <w:r w:rsidR="00293831">
        <w:t xml:space="preserve"> – necessitating the proactive work between policy and delivery partners to ensure </w:t>
      </w:r>
      <w:r w:rsidR="00575F6B">
        <w:t>both consistency and</w:t>
      </w:r>
      <w:r w:rsidR="00B24A13">
        <w:t>, where needed,</w:t>
      </w:r>
      <w:r w:rsidR="00575F6B">
        <w:t xml:space="preserve"> agility. </w:t>
      </w:r>
    </w:p>
    <w:p w14:paraId="72E65052" w14:textId="7D59BAE3" w:rsidR="008F19C3" w:rsidRDefault="008F19C3" w:rsidP="008F19C3">
      <w:pPr>
        <w:pStyle w:val="RDTier2"/>
        <w:ind w:left="0" w:firstLine="680"/>
      </w:pPr>
      <w:r>
        <w:rPr>
          <w:i/>
          <w:sz w:val="22"/>
          <w:lang w:val="en-US"/>
        </w:rPr>
        <w:t xml:space="preserve">Table 3.2. Summary of External Drivers and Influencers </w:t>
      </w:r>
    </w:p>
    <w:tbl>
      <w:tblPr>
        <w:tblW w:w="8505" w:type="dxa"/>
        <w:tblInd w:w="709" w:type="dxa"/>
        <w:tblCellMar>
          <w:left w:w="0" w:type="dxa"/>
          <w:right w:w="0" w:type="dxa"/>
        </w:tblCellMar>
        <w:tblLook w:val="0420" w:firstRow="1" w:lastRow="0" w:firstColumn="0" w:lastColumn="0" w:noHBand="0" w:noVBand="1"/>
      </w:tblPr>
      <w:tblGrid>
        <w:gridCol w:w="4536"/>
        <w:gridCol w:w="3969"/>
      </w:tblGrid>
      <w:tr w:rsidR="00B62DA8" w:rsidRPr="00F72A73" w14:paraId="2E7E0F09" w14:textId="77777777" w:rsidTr="00FA3139">
        <w:trPr>
          <w:trHeight w:val="297"/>
        </w:trPr>
        <w:tc>
          <w:tcPr>
            <w:tcW w:w="4536" w:type="dxa"/>
            <w:tcBorders>
              <w:top w:val="single" w:sz="18" w:space="0" w:color="08445E" w:themeColor="accent2"/>
              <w:left w:val="nil"/>
              <w:bottom w:val="single" w:sz="18" w:space="0" w:color="08445E" w:themeColor="accent2"/>
              <w:right w:val="nil"/>
            </w:tcBorders>
            <w:shd w:val="clear" w:color="auto" w:fill="E9E9EA"/>
          </w:tcPr>
          <w:p w14:paraId="1A4B76AB" w14:textId="77777777" w:rsidR="00B62DA8" w:rsidRPr="00B42BC2" w:rsidRDefault="00B62DA8" w:rsidP="00FA3139">
            <w:pPr>
              <w:pStyle w:val="TableBullet"/>
              <w:numPr>
                <w:ilvl w:val="0"/>
                <w:numId w:val="0"/>
              </w:numPr>
              <w:ind w:left="85"/>
              <w:jc w:val="center"/>
              <w:rPr>
                <w:rFonts w:ascii="Source Sans Pro" w:hAnsi="Source Sans Pro"/>
                <w:b/>
                <w:bCs/>
                <w:color w:val="FF5000" w:themeColor="accent6"/>
              </w:rPr>
            </w:pPr>
            <w:r w:rsidRPr="00B42BC2">
              <w:rPr>
                <w:rFonts w:ascii="Source Sans Pro" w:hAnsi="Source Sans Pro"/>
                <w:b/>
                <w:bCs/>
                <w:color w:val="FF5000" w:themeColor="accent6"/>
              </w:rPr>
              <w:t xml:space="preserve">Macro and UK Influences </w:t>
            </w:r>
          </w:p>
          <w:p w14:paraId="5C1432DF" w14:textId="77777777" w:rsidR="00B62DA8" w:rsidRPr="00B42BC2" w:rsidRDefault="00B62DA8" w:rsidP="00FA3139">
            <w:pPr>
              <w:pStyle w:val="TableBullet"/>
              <w:numPr>
                <w:ilvl w:val="0"/>
                <w:numId w:val="0"/>
              </w:numPr>
              <w:ind w:left="85"/>
              <w:jc w:val="center"/>
              <w:rPr>
                <w:rFonts w:ascii="Source Sans Pro" w:hAnsi="Source Sans Pro"/>
                <w:b/>
                <w:bCs/>
                <w:i/>
                <w:color w:val="FF5000" w:themeColor="accent6"/>
              </w:rPr>
            </w:pPr>
            <w:r w:rsidRPr="00B42BC2">
              <w:rPr>
                <w:rFonts w:ascii="Source Sans Pro" w:hAnsi="Source Sans Pro"/>
                <w:i/>
                <w:color w:val="052D3F" w:themeColor="accent1"/>
              </w:rPr>
              <w:t>…impacting directly or indirectly on economic role of the Royal Docks</w:t>
            </w:r>
          </w:p>
        </w:tc>
        <w:tc>
          <w:tcPr>
            <w:tcW w:w="3969" w:type="dxa"/>
            <w:tcBorders>
              <w:top w:val="single" w:sz="18" w:space="0" w:color="08445E" w:themeColor="accent2"/>
              <w:left w:val="nil"/>
              <w:bottom w:val="single" w:sz="18" w:space="0" w:color="08445E" w:themeColor="accent2"/>
              <w:right w:val="nil"/>
            </w:tcBorders>
            <w:shd w:val="clear" w:color="auto" w:fill="E9E9EA"/>
            <w:tcMar>
              <w:top w:w="72" w:type="dxa"/>
              <w:left w:w="144" w:type="dxa"/>
              <w:bottom w:w="72" w:type="dxa"/>
              <w:right w:w="144" w:type="dxa"/>
            </w:tcMar>
            <w:vAlign w:val="center"/>
          </w:tcPr>
          <w:p w14:paraId="0DF06A0F" w14:textId="77777777" w:rsidR="00B62DA8" w:rsidRPr="00B42BC2" w:rsidRDefault="00B62DA8" w:rsidP="00FA3139">
            <w:pPr>
              <w:pStyle w:val="TableBullet"/>
              <w:numPr>
                <w:ilvl w:val="0"/>
                <w:numId w:val="0"/>
              </w:numPr>
              <w:ind w:left="85"/>
              <w:jc w:val="center"/>
              <w:rPr>
                <w:rFonts w:ascii="Source Sans Pro" w:hAnsi="Source Sans Pro"/>
                <w:b/>
                <w:bCs/>
                <w:color w:val="FF5000" w:themeColor="accent6"/>
              </w:rPr>
            </w:pPr>
            <w:r w:rsidRPr="00B42BC2">
              <w:rPr>
                <w:rFonts w:ascii="Source Sans Pro" w:hAnsi="Source Sans Pro"/>
                <w:b/>
                <w:bCs/>
                <w:color w:val="FF5000" w:themeColor="accent6"/>
              </w:rPr>
              <w:t>Regional &amp; Local Policy Drivers</w:t>
            </w:r>
          </w:p>
          <w:p w14:paraId="5B217B25" w14:textId="77777777" w:rsidR="00B62DA8" w:rsidRPr="00B42BC2" w:rsidRDefault="00B62DA8" w:rsidP="00FA3139">
            <w:pPr>
              <w:pStyle w:val="TableBullet"/>
              <w:numPr>
                <w:ilvl w:val="0"/>
                <w:numId w:val="0"/>
              </w:numPr>
              <w:ind w:left="85"/>
              <w:jc w:val="center"/>
              <w:rPr>
                <w:rFonts w:ascii="Source Sans Pro" w:hAnsi="Source Sans Pro"/>
                <w:i/>
                <w:color w:val="FF5000" w:themeColor="accent6"/>
              </w:rPr>
            </w:pPr>
            <w:r w:rsidRPr="00B42BC2">
              <w:rPr>
                <w:rFonts w:ascii="Source Sans Pro" w:hAnsi="Source Sans Pro"/>
                <w:i/>
                <w:color w:val="052D3F" w:themeColor="accent1"/>
              </w:rPr>
              <w:t>…more direct influence on local growth potential</w:t>
            </w:r>
          </w:p>
        </w:tc>
      </w:tr>
      <w:tr w:rsidR="00B62DA8" w:rsidRPr="00F72A73" w14:paraId="2499618B" w14:textId="77777777" w:rsidTr="00FA3139">
        <w:trPr>
          <w:trHeight w:val="297"/>
        </w:trPr>
        <w:tc>
          <w:tcPr>
            <w:tcW w:w="4536" w:type="dxa"/>
            <w:tcBorders>
              <w:top w:val="single" w:sz="18" w:space="0" w:color="08445E" w:themeColor="accent2"/>
              <w:left w:val="nil"/>
              <w:bottom w:val="single" w:sz="8" w:space="0" w:color="FF5000" w:themeColor="accent6"/>
              <w:right w:val="nil"/>
            </w:tcBorders>
            <w:vAlign w:val="center"/>
          </w:tcPr>
          <w:p w14:paraId="3513A8E2" w14:textId="77777777" w:rsidR="00B62DA8" w:rsidRPr="00B42BC2" w:rsidRDefault="00B62DA8" w:rsidP="00FA3139">
            <w:pPr>
              <w:pStyle w:val="TableBullet"/>
              <w:rPr>
                <w:rFonts w:ascii="Source Sans Pro" w:hAnsi="Source Sans Pro"/>
                <w:color w:val="052D3F" w:themeColor="accent1"/>
                <w:sz w:val="20"/>
              </w:rPr>
            </w:pPr>
            <w:r w:rsidRPr="00B42BC2">
              <w:rPr>
                <w:rFonts w:ascii="Source Sans Pro" w:hAnsi="Source Sans Pro"/>
                <w:color w:val="052D3F" w:themeColor="accent1"/>
                <w:sz w:val="20"/>
              </w:rPr>
              <w:t>UK macro-context, in evolving global economy</w:t>
            </w:r>
          </w:p>
          <w:p w14:paraId="4E42AD0F" w14:textId="77777777" w:rsidR="00B62DA8" w:rsidRPr="00B42BC2" w:rsidRDefault="00B62DA8" w:rsidP="00FA3139">
            <w:pPr>
              <w:pStyle w:val="TableBullet"/>
              <w:rPr>
                <w:rFonts w:ascii="Source Sans Pro" w:hAnsi="Source Sans Pro"/>
                <w:color w:val="052D3F" w:themeColor="accent1"/>
                <w:sz w:val="20"/>
              </w:rPr>
            </w:pPr>
            <w:r w:rsidRPr="00B42BC2">
              <w:rPr>
                <w:rFonts w:ascii="Source Sans Pro" w:hAnsi="Source Sans Pro"/>
                <w:color w:val="052D3F" w:themeColor="accent1"/>
                <w:sz w:val="20"/>
              </w:rPr>
              <w:t>London’s necessary position as a global economic hub post Brexit</w:t>
            </w:r>
          </w:p>
          <w:p w14:paraId="6EF5F2CF" w14:textId="3722055C" w:rsidR="00B62DA8" w:rsidRPr="00B42BC2" w:rsidRDefault="006929B5" w:rsidP="00FA3139">
            <w:pPr>
              <w:pStyle w:val="TableBullet"/>
              <w:rPr>
                <w:rFonts w:ascii="Source Sans Pro" w:hAnsi="Source Sans Pro"/>
                <w:color w:val="052D3F" w:themeColor="accent1"/>
                <w:sz w:val="20"/>
              </w:rPr>
            </w:pPr>
            <w:r>
              <w:rPr>
                <w:rFonts w:ascii="Source Sans Pro" w:hAnsi="Source Sans Pro"/>
                <w:color w:val="052D3F" w:themeColor="accent1"/>
                <w:sz w:val="20"/>
              </w:rPr>
              <w:t>Economic r</w:t>
            </w:r>
            <w:r w:rsidR="00B62DA8" w:rsidRPr="00B42BC2">
              <w:rPr>
                <w:rFonts w:ascii="Source Sans Pro" w:hAnsi="Source Sans Pro"/>
                <w:color w:val="052D3F" w:themeColor="accent1"/>
                <w:sz w:val="20"/>
              </w:rPr>
              <w:t>e-balancing</w:t>
            </w:r>
            <w:r>
              <w:rPr>
                <w:rFonts w:ascii="Source Sans Pro" w:hAnsi="Source Sans Pro"/>
                <w:color w:val="052D3F" w:themeColor="accent1"/>
                <w:sz w:val="20"/>
              </w:rPr>
              <w:t xml:space="preserve"> within the UK</w:t>
            </w:r>
            <w:r w:rsidR="00B62DA8" w:rsidRPr="00B42BC2">
              <w:rPr>
                <w:rFonts w:ascii="Source Sans Pro" w:hAnsi="Source Sans Pro"/>
                <w:color w:val="052D3F" w:themeColor="accent1"/>
                <w:sz w:val="20"/>
              </w:rPr>
              <w:t xml:space="preserve">: </w:t>
            </w:r>
            <w:r>
              <w:rPr>
                <w:rFonts w:ascii="Source Sans Pro" w:hAnsi="Source Sans Pro"/>
                <w:color w:val="052D3F" w:themeColor="accent1"/>
                <w:sz w:val="20"/>
              </w:rPr>
              <w:t xml:space="preserve">focus on </w:t>
            </w:r>
            <w:r w:rsidR="00F4078E">
              <w:rPr>
                <w:rFonts w:ascii="Source Sans Pro" w:hAnsi="Source Sans Pro"/>
                <w:color w:val="052D3F" w:themeColor="accent1"/>
                <w:sz w:val="20"/>
              </w:rPr>
              <w:t>supporting growth across</w:t>
            </w:r>
            <w:r w:rsidR="00A967BF">
              <w:rPr>
                <w:rFonts w:ascii="Source Sans Pro" w:hAnsi="Source Sans Pro"/>
                <w:color w:val="052D3F" w:themeColor="accent1"/>
                <w:sz w:val="20"/>
              </w:rPr>
              <w:t xml:space="preserve"> the</w:t>
            </w:r>
            <w:r w:rsidR="00F4078E">
              <w:rPr>
                <w:rFonts w:ascii="Source Sans Pro" w:hAnsi="Source Sans Pro"/>
                <w:color w:val="052D3F" w:themeColor="accent1"/>
                <w:sz w:val="20"/>
              </w:rPr>
              <w:t xml:space="preserve"> midlands and </w:t>
            </w:r>
            <w:r w:rsidR="00A967BF">
              <w:rPr>
                <w:rFonts w:ascii="Source Sans Pro" w:hAnsi="Source Sans Pro"/>
                <w:color w:val="052D3F" w:themeColor="accent1"/>
                <w:sz w:val="20"/>
              </w:rPr>
              <w:t xml:space="preserve">the </w:t>
            </w:r>
            <w:r w:rsidR="00F4078E">
              <w:rPr>
                <w:rFonts w:ascii="Source Sans Pro" w:hAnsi="Source Sans Pro"/>
                <w:color w:val="052D3F" w:themeColor="accent1"/>
                <w:sz w:val="20"/>
              </w:rPr>
              <w:t xml:space="preserve">north, along with growing trend </w:t>
            </w:r>
            <w:r w:rsidR="00B62DA8" w:rsidRPr="00B42BC2">
              <w:rPr>
                <w:rFonts w:ascii="Source Sans Pro" w:hAnsi="Source Sans Pro"/>
                <w:color w:val="052D3F" w:themeColor="accent1"/>
                <w:sz w:val="20"/>
              </w:rPr>
              <w:t xml:space="preserve">of </w:t>
            </w:r>
            <w:r w:rsidR="00F4078E">
              <w:rPr>
                <w:rFonts w:ascii="Source Sans Pro" w:hAnsi="Source Sans Pro"/>
                <w:color w:val="052D3F" w:themeColor="accent1"/>
                <w:sz w:val="20"/>
              </w:rPr>
              <w:t>out-</w:t>
            </w:r>
            <w:r w:rsidR="00B62DA8" w:rsidRPr="00B42BC2">
              <w:rPr>
                <w:rFonts w:ascii="Source Sans Pro" w:hAnsi="Source Sans Pro"/>
                <w:color w:val="052D3F" w:themeColor="accent1"/>
                <w:sz w:val="20"/>
              </w:rPr>
              <w:t>migration from London</w:t>
            </w:r>
            <w:r w:rsidR="00F4078E">
              <w:rPr>
                <w:rFonts w:ascii="Source Sans Pro" w:hAnsi="Source Sans Pro"/>
                <w:color w:val="052D3F" w:themeColor="accent1"/>
                <w:sz w:val="20"/>
              </w:rPr>
              <w:t xml:space="preserve"> to the regions</w:t>
            </w:r>
          </w:p>
          <w:p w14:paraId="6C70F1A6" w14:textId="6C7880BB" w:rsidR="00B62DA8" w:rsidRPr="00B42BC2" w:rsidRDefault="00B62DA8" w:rsidP="00FA3139">
            <w:pPr>
              <w:pStyle w:val="TableBullet"/>
              <w:rPr>
                <w:rFonts w:ascii="Source Sans Pro" w:hAnsi="Source Sans Pro"/>
                <w:color w:val="052D3F" w:themeColor="accent1"/>
                <w:sz w:val="20"/>
              </w:rPr>
            </w:pPr>
            <w:r w:rsidRPr="00B42BC2">
              <w:rPr>
                <w:rFonts w:ascii="Source Sans Pro" w:hAnsi="Source Sans Pro"/>
                <w:color w:val="052D3F" w:themeColor="accent1"/>
                <w:sz w:val="20"/>
              </w:rPr>
              <w:t xml:space="preserve">Climate change and resilience; future proofing current and future development and economy </w:t>
            </w:r>
          </w:p>
          <w:p w14:paraId="43F35049" w14:textId="77777777" w:rsidR="00B62DA8" w:rsidRPr="00B42BC2" w:rsidRDefault="00B62DA8" w:rsidP="00FA3139">
            <w:pPr>
              <w:pStyle w:val="TableBullet"/>
              <w:rPr>
                <w:rFonts w:ascii="Source Sans Pro" w:hAnsi="Source Sans Pro"/>
                <w:color w:val="052D3F" w:themeColor="accent1"/>
                <w:sz w:val="20"/>
              </w:rPr>
            </w:pPr>
            <w:r w:rsidRPr="00B42BC2">
              <w:rPr>
                <w:rFonts w:ascii="Source Sans Pro" w:hAnsi="Source Sans Pro"/>
                <w:color w:val="052D3F" w:themeColor="accent1"/>
                <w:sz w:val="20"/>
              </w:rPr>
              <w:t>Dominance of knowledge economy, and continuing emergence &amp; evolution of tech, innovation and creative sectors</w:t>
            </w:r>
          </w:p>
          <w:p w14:paraId="685BD869" w14:textId="77777777" w:rsidR="00B62DA8" w:rsidRPr="00B42BC2" w:rsidRDefault="00B62DA8" w:rsidP="00FA3139">
            <w:pPr>
              <w:pStyle w:val="TableBullet"/>
              <w:rPr>
                <w:rFonts w:ascii="Source Sans Pro" w:hAnsi="Source Sans Pro"/>
                <w:color w:val="052D3F" w:themeColor="accent1"/>
                <w:sz w:val="20"/>
              </w:rPr>
            </w:pPr>
            <w:r w:rsidRPr="00B42BC2">
              <w:rPr>
                <w:rFonts w:ascii="Source Sans Pro" w:hAnsi="Source Sans Pro"/>
                <w:color w:val="052D3F" w:themeColor="accent1"/>
                <w:sz w:val="20"/>
              </w:rPr>
              <w:t xml:space="preserve">Changing working patterns impacting on demand for space </w:t>
            </w:r>
          </w:p>
          <w:p w14:paraId="268A1075" w14:textId="77777777" w:rsidR="00B62DA8" w:rsidRPr="00B42BC2" w:rsidRDefault="00B62DA8" w:rsidP="00FA3139">
            <w:pPr>
              <w:pStyle w:val="TableBullet"/>
              <w:rPr>
                <w:rFonts w:ascii="Source Sans Pro" w:hAnsi="Source Sans Pro"/>
                <w:color w:val="052D3F" w:themeColor="accent1"/>
                <w:sz w:val="20"/>
              </w:rPr>
            </w:pPr>
            <w:r w:rsidRPr="00B42BC2">
              <w:rPr>
                <w:rFonts w:ascii="Source Sans Pro" w:hAnsi="Source Sans Pro"/>
                <w:color w:val="052D3F" w:themeColor="accent1"/>
                <w:sz w:val="20"/>
              </w:rPr>
              <w:t>Changing consumer demand – retail, and leisure experience</w:t>
            </w:r>
          </w:p>
        </w:tc>
        <w:tc>
          <w:tcPr>
            <w:tcW w:w="3969" w:type="dxa"/>
            <w:tcBorders>
              <w:top w:val="single" w:sz="18" w:space="0" w:color="08445E" w:themeColor="accent2"/>
              <w:left w:val="nil"/>
              <w:bottom w:val="single" w:sz="8" w:space="0" w:color="FF5000" w:themeColor="accent6"/>
              <w:right w:val="nil"/>
            </w:tcBorders>
            <w:shd w:val="clear" w:color="auto" w:fill="auto"/>
            <w:tcMar>
              <w:top w:w="72" w:type="dxa"/>
              <w:left w:w="144" w:type="dxa"/>
              <w:bottom w:w="72" w:type="dxa"/>
              <w:right w:w="144" w:type="dxa"/>
            </w:tcMar>
            <w:vAlign w:val="center"/>
          </w:tcPr>
          <w:p w14:paraId="19A629F4" w14:textId="77777777" w:rsidR="00B62DA8" w:rsidRPr="00B42BC2" w:rsidRDefault="00B62DA8" w:rsidP="00FA3139">
            <w:pPr>
              <w:pStyle w:val="TableBullet"/>
              <w:rPr>
                <w:rFonts w:ascii="Source Sans Pro" w:hAnsi="Source Sans Pro"/>
                <w:color w:val="052D3F" w:themeColor="accent1"/>
                <w:sz w:val="20"/>
              </w:rPr>
            </w:pPr>
            <w:r w:rsidRPr="00B42BC2">
              <w:rPr>
                <w:rFonts w:ascii="Source Sans Pro" w:hAnsi="Source Sans Pro"/>
                <w:color w:val="052D3F" w:themeColor="accent1"/>
                <w:sz w:val="20"/>
              </w:rPr>
              <w:t>New London Plan and Mayoral Good Growth Policy</w:t>
            </w:r>
          </w:p>
          <w:p w14:paraId="16A43A21" w14:textId="17BB01C0" w:rsidR="00B62DA8" w:rsidRPr="00B42BC2" w:rsidRDefault="00B62DA8" w:rsidP="00FA3139">
            <w:pPr>
              <w:pStyle w:val="TableBullet"/>
              <w:rPr>
                <w:rFonts w:ascii="Source Sans Pro" w:hAnsi="Source Sans Pro"/>
                <w:color w:val="052D3F" w:themeColor="accent1"/>
                <w:sz w:val="20"/>
              </w:rPr>
            </w:pPr>
            <w:r w:rsidRPr="00B42BC2">
              <w:rPr>
                <w:rFonts w:ascii="Source Sans Pro" w:hAnsi="Source Sans Pro"/>
                <w:color w:val="052D3F" w:themeColor="accent1"/>
                <w:sz w:val="20"/>
              </w:rPr>
              <w:t>Newham Mayoral Policy – Community Wealth Building</w:t>
            </w:r>
          </w:p>
          <w:p w14:paraId="3556B837" w14:textId="77777777" w:rsidR="00B62DA8" w:rsidRPr="00B42BC2" w:rsidRDefault="00B62DA8" w:rsidP="00FA3139">
            <w:pPr>
              <w:pStyle w:val="TableBullet"/>
              <w:rPr>
                <w:rFonts w:ascii="Source Sans Pro" w:hAnsi="Source Sans Pro"/>
                <w:color w:val="052D3F" w:themeColor="accent1"/>
                <w:sz w:val="20"/>
              </w:rPr>
            </w:pPr>
            <w:r w:rsidRPr="00B42BC2">
              <w:rPr>
                <w:rFonts w:ascii="Source Sans Pro" w:hAnsi="Source Sans Pro"/>
                <w:color w:val="052D3F" w:themeColor="accent1"/>
                <w:sz w:val="20"/>
              </w:rPr>
              <w:t>Supply and cost of space – driving demand eastwards</w:t>
            </w:r>
          </w:p>
          <w:p w14:paraId="5AE5E09C" w14:textId="77777777" w:rsidR="00B62DA8" w:rsidRPr="00B42BC2" w:rsidRDefault="00B62DA8" w:rsidP="00FA3139">
            <w:pPr>
              <w:pStyle w:val="TableBullet"/>
              <w:rPr>
                <w:rFonts w:ascii="Source Sans Pro" w:hAnsi="Source Sans Pro"/>
                <w:color w:val="052D3F" w:themeColor="accent1"/>
                <w:sz w:val="20"/>
              </w:rPr>
            </w:pPr>
            <w:r w:rsidRPr="00B42BC2">
              <w:rPr>
                <w:rFonts w:ascii="Source Sans Pro" w:hAnsi="Source Sans Pro"/>
                <w:color w:val="052D3F" w:themeColor="accent1"/>
                <w:sz w:val="20"/>
              </w:rPr>
              <w:t>Transport &amp; connectivity constraints; challenges in funding strategic infrastructure upgrades</w:t>
            </w:r>
          </w:p>
          <w:p w14:paraId="3FE69737" w14:textId="77777777" w:rsidR="00B62DA8" w:rsidRPr="00B42BC2" w:rsidRDefault="00B62DA8" w:rsidP="00FA3139">
            <w:pPr>
              <w:pStyle w:val="TableBullet"/>
              <w:rPr>
                <w:rFonts w:ascii="Source Sans Pro" w:hAnsi="Source Sans Pro"/>
                <w:color w:val="052D3F" w:themeColor="accent1"/>
                <w:sz w:val="20"/>
              </w:rPr>
            </w:pPr>
            <w:r w:rsidRPr="00B42BC2">
              <w:rPr>
                <w:rFonts w:ascii="Source Sans Pro" w:hAnsi="Source Sans Pro"/>
                <w:color w:val="052D3F" w:themeColor="accent1"/>
                <w:sz w:val="20"/>
              </w:rPr>
              <w:t>Challenges and uncertainty facing London developer market</w:t>
            </w:r>
          </w:p>
          <w:p w14:paraId="0C43EAF5" w14:textId="539FCA3A" w:rsidR="00B62DA8" w:rsidRPr="00B42BC2" w:rsidRDefault="00B62DA8" w:rsidP="00FA3139">
            <w:pPr>
              <w:pStyle w:val="TableBullet"/>
              <w:rPr>
                <w:rFonts w:ascii="Source Sans Pro" w:eastAsia="Yu Gothic UI" w:hAnsi="Source Sans Pro"/>
                <w:b/>
                <w:bCs/>
                <w:color w:val="052D3F" w:themeColor="accent1"/>
                <w:sz w:val="20"/>
                <w:szCs w:val="44"/>
                <w:lang w:val="en-US"/>
              </w:rPr>
            </w:pPr>
            <w:r w:rsidRPr="00B42BC2">
              <w:rPr>
                <w:rFonts w:ascii="Source Sans Pro" w:hAnsi="Source Sans Pro"/>
                <w:color w:val="052D3F" w:themeColor="accent1"/>
                <w:sz w:val="20"/>
              </w:rPr>
              <w:t>Highly competitive London environment – 40+ opportunity areas competing for investment.</w:t>
            </w:r>
          </w:p>
        </w:tc>
      </w:tr>
    </w:tbl>
    <w:p w14:paraId="782F2C25" w14:textId="76639BE9" w:rsidR="00F61727" w:rsidRDefault="006352A1" w:rsidP="00320FFA">
      <w:pPr>
        <w:pStyle w:val="RDTier2"/>
        <w:spacing w:before="0" w:after="60"/>
      </w:pPr>
      <w:r w:rsidRPr="008A12D6">
        <w:rPr>
          <w:rFonts w:eastAsiaTheme="minorHAnsi"/>
          <w:noProof/>
          <w:szCs w:val="20"/>
        </w:rPr>
        <mc:AlternateContent>
          <mc:Choice Requires="wps">
            <w:drawing>
              <wp:anchor distT="0" distB="0" distL="114300" distR="114300" simplePos="0" relativeHeight="251658247" behindDoc="1" locked="0" layoutInCell="1" allowOverlap="1" wp14:anchorId="1CD55680" wp14:editId="738EFC2E">
                <wp:simplePos x="0" y="0"/>
                <wp:positionH relativeFrom="margin">
                  <wp:posOffset>409575</wp:posOffset>
                </wp:positionH>
                <wp:positionV relativeFrom="paragraph">
                  <wp:posOffset>224790</wp:posOffset>
                </wp:positionV>
                <wp:extent cx="5443855" cy="1509395"/>
                <wp:effectExtent l="0" t="0" r="4445" b="0"/>
                <wp:wrapSquare wrapText="bothSides"/>
                <wp:docPr id="197" name="TextBox 6"/>
                <wp:cNvGraphicFramePr/>
                <a:graphic xmlns:a="http://schemas.openxmlformats.org/drawingml/2006/main">
                  <a:graphicData uri="http://schemas.microsoft.com/office/word/2010/wordprocessingShape">
                    <wps:wsp>
                      <wps:cNvSpPr txBox="1"/>
                      <wps:spPr>
                        <a:xfrm>
                          <a:off x="0" y="0"/>
                          <a:ext cx="5443855" cy="1509395"/>
                        </a:xfrm>
                        <a:prstGeom prst="rect">
                          <a:avLst/>
                        </a:prstGeom>
                        <a:solidFill>
                          <a:srgbClr val="D6DEE3"/>
                        </a:solidFill>
                      </wps:spPr>
                      <wps:txbx>
                        <w:txbxContent>
                          <w:p w14:paraId="451967D0" w14:textId="77777777" w:rsidR="006F3AC6" w:rsidRDefault="006F3AC6" w:rsidP="00A967BF">
                            <w:pPr>
                              <w:pStyle w:val="RDTier2"/>
                              <w:spacing w:before="0"/>
                              <w:ind w:left="0"/>
                              <w:rPr>
                                <w:sz w:val="24"/>
                              </w:rPr>
                            </w:pPr>
                            <w:r w:rsidRPr="00D0201F">
                              <w:rPr>
                                <w:sz w:val="24"/>
                              </w:rPr>
                              <w:t>Implications for the Royal Docks Economic Purpose</w:t>
                            </w:r>
                          </w:p>
                          <w:p w14:paraId="7AB070C6" w14:textId="45361C28" w:rsidR="006F3AC6" w:rsidRDefault="006F3AC6" w:rsidP="008F5CCC">
                            <w:pPr>
                              <w:pStyle w:val="RDParagraph"/>
                              <w:ind w:left="0"/>
                            </w:pPr>
                            <w:r>
                              <w:t xml:space="preserve">Delivery within the Royal Docks is likely to transcend multiple economic and policy cycles, alongside wider evolution in consumer and commercial demand. </w:t>
                            </w:r>
                          </w:p>
                          <w:p w14:paraId="4AD4CF2B" w14:textId="796B99DF" w:rsidR="006F3AC6" w:rsidRPr="00D0201F" w:rsidRDefault="006F3AC6" w:rsidP="008F5CCC">
                            <w:pPr>
                              <w:pStyle w:val="RDParagraph"/>
                              <w:ind w:left="0"/>
                            </w:pPr>
                            <w:r>
                              <w:t xml:space="preserve">Long term consistency in vision and ethos will be important for the Royal Docks in giving external audiences and markets confidence in the opportunity. That said policy makers and delivery partners will also need to adopt a flexible and agile approach to respond to ebbs and flows in the market and to future proof delivery. </w:t>
                            </w:r>
                          </w:p>
                          <w:p w14:paraId="5DE35071" w14:textId="77777777" w:rsidR="006F3AC6" w:rsidRPr="00382E2E" w:rsidRDefault="006F3AC6" w:rsidP="008F5CCC">
                            <w:pPr>
                              <w:pStyle w:val="Heading5"/>
                              <w:ind w:right="198"/>
                              <w:rPr>
                                <w:rFonts w:ascii="Source Sans Pro" w:hAnsi="Source Sans Pro"/>
                                <w:color w:val="052D3F"/>
                                <w:szCs w:val="22"/>
                              </w:rPr>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1CD55680" id="_x0000_s1032" type="#_x0000_t202" style="position:absolute;left:0;text-align:left;margin-left:32.25pt;margin-top:17.7pt;width:428.65pt;height:118.8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" fillcolor="#d6dee3" stroked="f">
                <v:textbox>
                  <w:txbxContent>
                    <w:p w14:paraId="451967D0" w14:textId="77777777" w:rsidR="006F3AC6" w:rsidRDefault="006F3AC6" w:rsidP="00A967BF">
                      <w:pPr>
                        <w:pStyle w:val="RDTier2"/>
                        <w:spacing w:before="0"/>
                        <w:ind w:left="0"/>
                        <w:rPr>
                          <w:sz w:val="24"/>
                        </w:rPr>
                      </w:pPr>
                      <w:r w:rsidRPr="00D0201F">
                        <w:rPr>
                          <w:sz w:val="24"/>
                        </w:rPr>
                        <w:t>Implications for the Royal Docks Economic Purpose</w:t>
                      </w:r>
                    </w:p>
                    <w:p w14:paraId="7AB070C6" w14:textId="45361C28" w:rsidR="006F3AC6" w:rsidRDefault="006F3AC6" w:rsidP="008F5CCC">
                      <w:pPr>
                        <w:pStyle w:val="RDParagraph"/>
                        <w:ind w:left="0"/>
                      </w:pPr>
                      <w:r>
                        <w:t xml:space="preserve">Delivery within the Royal Docks is likely to transcend multiple economic and policy cycles, alongside wider evolution in consumer and commercial demand. </w:t>
                      </w:r>
                    </w:p>
                    <w:p w14:paraId="4AD4CF2B" w14:textId="796B99DF" w:rsidR="006F3AC6" w:rsidRPr="00D0201F" w:rsidRDefault="006F3AC6" w:rsidP="008F5CCC">
                      <w:pPr>
                        <w:pStyle w:val="RDParagraph"/>
                        <w:ind w:left="0"/>
                      </w:pPr>
                      <w:r>
                        <w:t xml:space="preserve">Long term consistency in vision and ethos will be important for the Royal Docks in giving external audiences and markets confidence in the opportunity. That said policy makers and delivery partners will also need to adopt a flexible and agile approach to respond to ebbs and flows in the market and to future proof delivery. </w:t>
                      </w:r>
                    </w:p>
                    <w:p w14:paraId="5DE35071" w14:textId="77777777" w:rsidR="006F3AC6" w:rsidRPr="00382E2E" w:rsidRDefault="006F3AC6" w:rsidP="008F5CCC">
                      <w:pPr>
                        <w:pStyle w:val="Heading5"/>
                        <w:ind w:right="198"/>
                        <w:rPr>
                          <w:rFonts w:ascii="Source Sans Pro" w:hAnsi="Source Sans Pro"/>
                          <w:color w:val="052D3F"/>
                          <w:szCs w:val="22"/>
                        </w:rPr>
                      </w:pPr>
                    </w:p>
                  </w:txbxContent>
                </v:textbox>
                <w10:wrap type="square" anchorx="margin"/>
              </v:shape>
            </w:pict>
          </mc:Fallback>
        </mc:AlternateContent>
      </w:r>
      <w:r w:rsidR="00B42BC2">
        <w:br w:type="page"/>
      </w:r>
      <w:r w:rsidR="006E6391">
        <w:lastRenderedPageBreak/>
        <w:t xml:space="preserve">Capitalising on </w:t>
      </w:r>
      <w:r w:rsidR="00F61727">
        <w:t xml:space="preserve">Economic </w:t>
      </w:r>
      <w:r w:rsidR="009B5F9A">
        <w:t xml:space="preserve">and Sector </w:t>
      </w:r>
      <w:r w:rsidR="002047DB">
        <w:t xml:space="preserve">Demand </w:t>
      </w:r>
      <w:bookmarkEnd w:id="20"/>
      <w:bookmarkEnd w:id="21"/>
      <w:bookmarkEnd w:id="22"/>
    </w:p>
    <w:p w14:paraId="47E7C222" w14:textId="0DBF25ED" w:rsidR="002047DB" w:rsidRDefault="00CE48C3" w:rsidP="000A4C7D">
      <w:pPr>
        <w:pStyle w:val="RDParagraph"/>
        <w:spacing w:before="80" w:after="80"/>
      </w:pPr>
      <w:r>
        <w:t xml:space="preserve">London has experienced a </w:t>
      </w:r>
      <w:r w:rsidR="00271333">
        <w:t>period</w:t>
      </w:r>
      <w:r w:rsidR="002047DB" w:rsidRPr="002047DB">
        <w:t xml:space="preserve"> of rapid </w:t>
      </w:r>
      <w:r>
        <w:t xml:space="preserve">economic </w:t>
      </w:r>
      <w:r w:rsidR="002047DB" w:rsidRPr="002047DB">
        <w:t>growth</w:t>
      </w:r>
      <w:r w:rsidR="00B42BC2">
        <w:t xml:space="preserve"> </w:t>
      </w:r>
      <w:r w:rsidR="002047DB" w:rsidRPr="002047DB">
        <w:t xml:space="preserve">since </w:t>
      </w:r>
      <w:r w:rsidR="008C1724">
        <w:t xml:space="preserve">the 2008 credit crunch and the subsequent economic downturn. Over the past </w:t>
      </w:r>
      <w:r w:rsidR="00526224">
        <w:t xml:space="preserve">decade, the city has </w:t>
      </w:r>
      <w:r w:rsidR="002047DB" w:rsidRPr="002047DB">
        <w:t>reaffirmed position at forefront of UK and globa</w:t>
      </w:r>
      <w:r w:rsidR="00526224">
        <w:t>l</w:t>
      </w:r>
      <w:r w:rsidR="002047DB" w:rsidRPr="002047DB">
        <w:t xml:space="preserve"> tech, creative and financial and professional service sectors</w:t>
      </w:r>
      <w:r w:rsidR="003B1992">
        <w:t xml:space="preserve">. While current uncertainty </w:t>
      </w:r>
      <w:r w:rsidR="004C5982">
        <w:t xml:space="preserve">relating to Brexit and the UK’s future trading relationship represents a considerable threat, the </w:t>
      </w:r>
      <w:r w:rsidR="000B2188">
        <w:t>critical mass and enduring ‘attractiveness’ and ‘identity’ of the London</w:t>
      </w:r>
      <w:r w:rsidR="002047DB" w:rsidRPr="002047DB">
        <w:t xml:space="preserve"> </w:t>
      </w:r>
      <w:r w:rsidR="000B2188">
        <w:t xml:space="preserve">brand </w:t>
      </w:r>
      <w:r w:rsidR="00703163">
        <w:t xml:space="preserve">are expected to help </w:t>
      </w:r>
      <w:r w:rsidR="008F07C3">
        <w:t>protect</w:t>
      </w:r>
      <w:r w:rsidR="00703163">
        <w:t xml:space="preserve"> the city’s economic resilience</w:t>
      </w:r>
      <w:r w:rsidR="008F07C3">
        <w:t xml:space="preserve"> and position</w:t>
      </w:r>
      <w:r w:rsidR="00703163">
        <w:t xml:space="preserve">. </w:t>
      </w:r>
    </w:p>
    <w:p w14:paraId="3FD14C40" w14:textId="154F4FAD" w:rsidR="00EB70A8" w:rsidRDefault="00271333" w:rsidP="000A4C7D">
      <w:pPr>
        <w:pStyle w:val="RDParagraph"/>
        <w:spacing w:before="80" w:after="80"/>
      </w:pPr>
      <w:r>
        <w:t>N</w:t>
      </w:r>
      <w:r w:rsidR="000D361C">
        <w:t xml:space="preserve">ational, regional and local policy </w:t>
      </w:r>
      <w:r w:rsidR="009869D0">
        <w:t>priorities</w:t>
      </w:r>
      <w:r w:rsidR="000D361C">
        <w:t xml:space="preserve"> </w:t>
      </w:r>
      <w:r w:rsidR="009869D0">
        <w:t>regarding</w:t>
      </w:r>
      <w:r w:rsidR="000D361C">
        <w:t xml:space="preserve"> </w:t>
      </w:r>
      <w:r w:rsidR="009869D0">
        <w:t xml:space="preserve">economic growth have </w:t>
      </w:r>
      <w:r>
        <w:t xml:space="preserve">been </w:t>
      </w:r>
      <w:r w:rsidR="009869D0">
        <w:t>evolv</w:t>
      </w:r>
      <w:r>
        <w:t>ing</w:t>
      </w:r>
      <w:r w:rsidR="009869D0">
        <w:t xml:space="preserve"> to reflect evolution in </w:t>
      </w:r>
      <w:r w:rsidR="00B95ACF">
        <w:t>economic drivers and in sector demand:</w:t>
      </w:r>
    </w:p>
    <w:p w14:paraId="26336955" w14:textId="71215788" w:rsidR="00E731DC" w:rsidRPr="007F2D5B" w:rsidRDefault="00E731DC" w:rsidP="000A4C7D">
      <w:pPr>
        <w:pStyle w:val="RDBullet"/>
        <w:spacing w:before="80" w:after="80"/>
        <w:rPr>
          <w:lang w:val="en-US"/>
        </w:rPr>
      </w:pPr>
      <w:r>
        <w:t xml:space="preserve">Nationally, the </w:t>
      </w:r>
      <w:r w:rsidR="00A9358E">
        <w:t>government’s I</w:t>
      </w:r>
      <w:r w:rsidRPr="007F2D5B">
        <w:t>ndustrial Strategy</w:t>
      </w:r>
      <w:r w:rsidR="00A9358E">
        <w:t xml:space="preserve"> </w:t>
      </w:r>
      <w:r w:rsidR="00CC092B">
        <w:t>establishes</w:t>
      </w:r>
      <w:r w:rsidR="00A9358E">
        <w:t xml:space="preserve"> a number of </w:t>
      </w:r>
      <w:r w:rsidR="00F069FA">
        <w:t>‘</w:t>
      </w:r>
      <w:r w:rsidR="00A9358E" w:rsidRPr="007F2D5B">
        <w:rPr>
          <w:lang w:val="en-US"/>
        </w:rPr>
        <w:t>foundations of productivity</w:t>
      </w:r>
      <w:r w:rsidR="00F069FA">
        <w:rPr>
          <w:lang w:val="en-US"/>
        </w:rPr>
        <w:t>’</w:t>
      </w:r>
      <w:r w:rsidR="00A9358E" w:rsidRPr="007F2D5B">
        <w:rPr>
          <w:lang w:val="en-US"/>
        </w:rPr>
        <w:t xml:space="preserve"> </w:t>
      </w:r>
      <w:r w:rsidR="00A9358E">
        <w:rPr>
          <w:lang w:val="en-US"/>
        </w:rPr>
        <w:t xml:space="preserve">which </w:t>
      </w:r>
      <w:r w:rsidR="005C771A">
        <w:rPr>
          <w:lang w:val="en-US"/>
        </w:rPr>
        <w:t>will</w:t>
      </w:r>
      <w:r w:rsidR="00A9358E">
        <w:rPr>
          <w:lang w:val="en-US"/>
        </w:rPr>
        <w:t xml:space="preserve"> underpin future growth</w:t>
      </w:r>
      <w:r w:rsidR="00922394">
        <w:rPr>
          <w:lang w:val="en-US"/>
        </w:rPr>
        <w:t>:</w:t>
      </w:r>
      <w:r w:rsidR="00A9358E">
        <w:rPr>
          <w:lang w:val="en-US"/>
        </w:rPr>
        <w:t xml:space="preserve"> </w:t>
      </w:r>
      <w:r w:rsidR="00A9358E" w:rsidRPr="007F2D5B">
        <w:rPr>
          <w:lang w:val="en-US"/>
        </w:rPr>
        <w:t>ideas, people, business environment, places, infrastructure</w:t>
      </w:r>
      <w:r w:rsidR="00A9358E">
        <w:rPr>
          <w:lang w:val="en-US"/>
        </w:rPr>
        <w:t xml:space="preserve">. </w:t>
      </w:r>
      <w:r w:rsidR="00DA288D">
        <w:rPr>
          <w:lang w:val="en-US"/>
        </w:rPr>
        <w:t>F</w:t>
      </w:r>
      <w:r w:rsidR="00CC092B">
        <w:rPr>
          <w:lang w:val="en-US"/>
        </w:rPr>
        <w:t xml:space="preserve">our </w:t>
      </w:r>
      <w:r w:rsidRPr="007F2D5B">
        <w:t xml:space="preserve">grand challenges </w:t>
      </w:r>
      <w:r w:rsidR="00DA288D">
        <w:t xml:space="preserve">cut across these: </w:t>
      </w:r>
      <w:r w:rsidRPr="007F2D5B">
        <w:rPr>
          <w:lang w:val="en-US"/>
        </w:rPr>
        <w:t xml:space="preserve">AI and </w:t>
      </w:r>
      <w:r w:rsidR="00A9358E">
        <w:rPr>
          <w:lang w:val="en-US"/>
        </w:rPr>
        <w:t>d</w:t>
      </w:r>
      <w:r w:rsidRPr="007F2D5B">
        <w:rPr>
          <w:lang w:val="en-US"/>
        </w:rPr>
        <w:t xml:space="preserve">ata economy, </w:t>
      </w:r>
      <w:r w:rsidR="00A9358E">
        <w:rPr>
          <w:lang w:val="en-US"/>
        </w:rPr>
        <w:t>f</w:t>
      </w:r>
      <w:r w:rsidRPr="007F2D5B">
        <w:rPr>
          <w:lang w:val="en-US"/>
        </w:rPr>
        <w:t xml:space="preserve">uture of mobility, </w:t>
      </w:r>
      <w:r w:rsidR="00A9358E">
        <w:rPr>
          <w:lang w:val="en-US"/>
        </w:rPr>
        <w:t>c</w:t>
      </w:r>
      <w:r w:rsidRPr="007F2D5B">
        <w:rPr>
          <w:lang w:val="en-US"/>
        </w:rPr>
        <w:t>lean growth</w:t>
      </w:r>
      <w:r w:rsidR="00A9358E">
        <w:rPr>
          <w:lang w:val="en-US"/>
        </w:rPr>
        <w:t xml:space="preserve"> and</w:t>
      </w:r>
      <w:r w:rsidRPr="007F2D5B">
        <w:rPr>
          <w:lang w:val="en-US"/>
        </w:rPr>
        <w:t xml:space="preserve"> </w:t>
      </w:r>
      <w:r w:rsidR="00A9358E">
        <w:rPr>
          <w:lang w:val="en-US"/>
        </w:rPr>
        <w:t>a</w:t>
      </w:r>
      <w:r w:rsidRPr="007F2D5B">
        <w:rPr>
          <w:lang w:val="en-US"/>
        </w:rPr>
        <w:t>geing society</w:t>
      </w:r>
      <w:r w:rsidR="00B450D8">
        <w:rPr>
          <w:lang w:val="en-US"/>
        </w:rPr>
        <w:t>.</w:t>
      </w:r>
      <w:r w:rsidRPr="007F2D5B">
        <w:rPr>
          <w:lang w:val="en-US"/>
        </w:rPr>
        <w:t xml:space="preserve"> </w:t>
      </w:r>
    </w:p>
    <w:p w14:paraId="617D94A6" w14:textId="49D9B42E" w:rsidR="00E731DC" w:rsidRPr="007F2D5B" w:rsidRDefault="00CC092B" w:rsidP="000A4C7D">
      <w:pPr>
        <w:pStyle w:val="RDBullet"/>
        <w:spacing w:before="80" w:after="80"/>
        <w:rPr>
          <w:lang w:val="en-US"/>
        </w:rPr>
      </w:pPr>
      <w:r>
        <w:t xml:space="preserve">In London, </w:t>
      </w:r>
      <w:r w:rsidR="007E4FA7">
        <w:t xml:space="preserve">the Mayor’s draft New London Plan and Economic Development Strategy identify a number of </w:t>
      </w:r>
      <w:r w:rsidR="00E731DC" w:rsidRPr="007F2D5B">
        <w:t>focus sectors</w:t>
      </w:r>
      <w:r w:rsidR="007E4FA7">
        <w:t xml:space="preserve"> for growth in the city</w:t>
      </w:r>
      <w:r w:rsidR="00E731DC" w:rsidRPr="007F2D5B">
        <w:t xml:space="preserve"> – financial and professional services, digital and tech, creative production, life sciences, low carbon</w:t>
      </w:r>
      <w:r w:rsidR="00B450D8">
        <w:t>.</w:t>
      </w:r>
    </w:p>
    <w:p w14:paraId="47D4C749" w14:textId="241BB93D" w:rsidR="002E1F0F" w:rsidRPr="007C1E8A" w:rsidRDefault="00265753" w:rsidP="000A4C7D">
      <w:pPr>
        <w:pStyle w:val="RDBullet"/>
        <w:spacing w:before="80" w:after="80"/>
        <w:rPr>
          <w:lang w:val="en-US"/>
        </w:rPr>
      </w:pPr>
      <w:r w:rsidRPr="007C1E8A">
        <w:t>In Newham, the Local Plan</w:t>
      </w:r>
      <w:r w:rsidR="002E1F0F" w:rsidRPr="007C1E8A">
        <w:t xml:space="preserve"> focuses on the need to </w:t>
      </w:r>
      <w:r w:rsidR="00E731DC" w:rsidRPr="007C1E8A">
        <w:t>continu</w:t>
      </w:r>
      <w:r w:rsidR="002E1F0F" w:rsidRPr="007C1E8A">
        <w:t>e</w:t>
      </w:r>
      <w:r w:rsidR="00E731DC" w:rsidRPr="007C1E8A">
        <w:t xml:space="preserve"> to </w:t>
      </w:r>
      <w:r w:rsidR="002E1F0F" w:rsidRPr="007C1E8A">
        <w:t>provide</w:t>
      </w:r>
      <w:r w:rsidR="00E731DC" w:rsidRPr="007C1E8A">
        <w:t xml:space="preserve"> industrial capacity for London</w:t>
      </w:r>
      <w:r w:rsidR="002E1F0F" w:rsidRPr="007C1E8A">
        <w:t xml:space="preserve">, while supporting growth in office sectors in growth locations such as Stratford and the Royal Docks. </w:t>
      </w:r>
      <w:r w:rsidR="0053703B" w:rsidRPr="007C1E8A">
        <w:t xml:space="preserve">The emerging Royal Docks and Beckton OAPF supports these aspirations, highlighting the ongoing importance of the </w:t>
      </w:r>
      <w:r w:rsidR="004B0B89" w:rsidRPr="007C1E8A">
        <w:t>area</w:t>
      </w:r>
      <w:r w:rsidR="0053703B" w:rsidRPr="007C1E8A">
        <w:t xml:space="preserve"> </w:t>
      </w:r>
      <w:r w:rsidR="003749AD" w:rsidRPr="007C1E8A">
        <w:t>as a</w:t>
      </w:r>
      <w:r w:rsidR="00AB5813" w:rsidRPr="007C1E8A">
        <w:t>n</w:t>
      </w:r>
      <w:r w:rsidR="003749AD" w:rsidRPr="007C1E8A">
        <w:t xml:space="preserve"> industrial location (</w:t>
      </w:r>
      <w:r w:rsidR="004B0B89" w:rsidRPr="007C1E8A">
        <w:t xml:space="preserve">with </w:t>
      </w:r>
      <w:r w:rsidR="007C1E8A" w:rsidRPr="007C1E8A">
        <w:t xml:space="preserve">over 250ha </w:t>
      </w:r>
      <w:r w:rsidR="004B0B89" w:rsidRPr="007C1E8A">
        <w:t>of land designated as ‘</w:t>
      </w:r>
      <w:r w:rsidR="003749AD" w:rsidRPr="007C1E8A">
        <w:t>Strategic Industrial Location</w:t>
      </w:r>
      <w:r w:rsidR="004B0B89" w:rsidRPr="007C1E8A">
        <w:t>’</w:t>
      </w:r>
      <w:r w:rsidR="003749AD" w:rsidRPr="007C1E8A">
        <w:t xml:space="preserve">), alongside aspirations to support </w:t>
      </w:r>
      <w:r w:rsidR="00AB5813" w:rsidRPr="007C1E8A">
        <w:t>growth</w:t>
      </w:r>
      <w:r w:rsidR="003749AD" w:rsidRPr="007C1E8A">
        <w:t xml:space="preserve"> in office </w:t>
      </w:r>
      <w:r w:rsidR="00AB5813" w:rsidRPr="007C1E8A">
        <w:t xml:space="preserve">activities and </w:t>
      </w:r>
      <w:r w:rsidR="003749AD" w:rsidRPr="007C1E8A">
        <w:t>within the</w:t>
      </w:r>
      <w:r w:rsidR="00AB5813" w:rsidRPr="007C1E8A">
        <w:t xml:space="preserve"> visitor economy</w:t>
      </w:r>
      <w:r w:rsidR="00DE04E3" w:rsidRPr="007C1E8A">
        <w:t>, and to support a stronger local amenity sector</w:t>
      </w:r>
      <w:r w:rsidR="00AB5813" w:rsidRPr="007C1E8A">
        <w:t xml:space="preserve">. </w:t>
      </w:r>
      <w:r w:rsidR="00DA288D" w:rsidRPr="007C1E8A">
        <w:t xml:space="preserve">More recently, </w:t>
      </w:r>
      <w:r w:rsidR="004B4E54" w:rsidRPr="007C1E8A">
        <w:t>the green economy has been identified as a key priority for the Borough as part of its response to the climate emergency</w:t>
      </w:r>
      <w:r w:rsidR="000C519C" w:rsidRPr="007C1E8A">
        <w:t>, with the Royal Docks providing a possible focal point for investment and innovation.</w:t>
      </w:r>
      <w:r w:rsidR="00501309" w:rsidRPr="007C1E8A">
        <w:t xml:space="preserve"> </w:t>
      </w:r>
    </w:p>
    <w:p w14:paraId="3D379E0E" w14:textId="77777777" w:rsidR="00004FBF" w:rsidRDefault="00810F7A" w:rsidP="003033FC">
      <w:pPr>
        <w:pStyle w:val="RDParagraph"/>
        <w:rPr>
          <w:lang w:val="en-US"/>
        </w:rPr>
      </w:pPr>
      <w:r w:rsidRPr="008A12D6">
        <w:rPr>
          <w:rFonts w:eastAsiaTheme="minorHAnsi"/>
          <w:noProof/>
          <w:szCs w:val="20"/>
        </w:rPr>
        <mc:AlternateContent>
          <mc:Choice Requires="wps">
            <w:drawing>
              <wp:anchor distT="0" distB="0" distL="114300" distR="114300" simplePos="0" relativeHeight="251658245" behindDoc="1" locked="0" layoutInCell="1" allowOverlap="1" wp14:anchorId="04B37BAC" wp14:editId="39958778">
                <wp:simplePos x="0" y="0"/>
                <wp:positionH relativeFrom="margin">
                  <wp:posOffset>388310</wp:posOffset>
                </wp:positionH>
                <wp:positionV relativeFrom="paragraph">
                  <wp:posOffset>1825728</wp:posOffset>
                </wp:positionV>
                <wp:extent cx="5506720" cy="2164242"/>
                <wp:effectExtent l="0" t="0" r="0" b="7620"/>
                <wp:wrapSquare wrapText="bothSides"/>
                <wp:docPr id="344" name="TextBox 6"/>
                <wp:cNvGraphicFramePr/>
                <a:graphic xmlns:a="http://schemas.openxmlformats.org/drawingml/2006/main">
                  <a:graphicData uri="http://schemas.microsoft.com/office/word/2010/wordprocessingShape">
                    <wps:wsp>
                      <wps:cNvSpPr txBox="1"/>
                      <wps:spPr>
                        <a:xfrm>
                          <a:off x="0" y="0"/>
                          <a:ext cx="5506720" cy="2164242"/>
                        </a:xfrm>
                        <a:prstGeom prst="rect">
                          <a:avLst/>
                        </a:prstGeom>
                        <a:solidFill>
                          <a:srgbClr val="D6DEE3"/>
                        </a:solidFill>
                      </wps:spPr>
                      <wps:txbx>
                        <w:txbxContent>
                          <w:p w14:paraId="4AF5829F" w14:textId="41DFA8FA" w:rsidR="006F3AC6" w:rsidRDefault="006F3AC6" w:rsidP="00AA785A">
                            <w:pPr>
                              <w:pStyle w:val="RDTier2"/>
                              <w:spacing w:before="60" w:after="60"/>
                              <w:ind w:left="0"/>
                              <w:rPr>
                                <w:sz w:val="24"/>
                              </w:rPr>
                            </w:pPr>
                            <w:r w:rsidRPr="00D0201F">
                              <w:rPr>
                                <w:sz w:val="24"/>
                              </w:rPr>
                              <w:t>Implications for the Royal Docks Economic Purpose</w:t>
                            </w:r>
                          </w:p>
                          <w:p w14:paraId="24615B87" w14:textId="312BD916" w:rsidR="006F3AC6" w:rsidRDefault="006F3AC6" w:rsidP="00AA785A">
                            <w:pPr>
                              <w:pStyle w:val="RDBullet"/>
                              <w:numPr>
                                <w:ilvl w:val="0"/>
                                <w:numId w:val="0"/>
                              </w:numPr>
                              <w:spacing w:before="60" w:after="60"/>
                            </w:pPr>
                            <w:r>
                              <w:t>In stimulating demand, the Royal Docks will need to respond directly to wider economic and sector trends, both across London and nationally. However, in pursuing long term growth aspirations, the approach will need to ‘look beyond’ sectors: focusing instead on the bigger picture in terms of business needs and expectations, and adopting an approach which allows flexibility and dynamism to respond to opportunities as they emerge.</w:t>
                            </w:r>
                          </w:p>
                          <w:p w14:paraId="1646EF4E" w14:textId="19E25C43" w:rsidR="006F3AC6" w:rsidRDefault="006F3AC6" w:rsidP="00AA785A">
                            <w:pPr>
                              <w:pStyle w:val="RDBullet"/>
                              <w:numPr>
                                <w:ilvl w:val="0"/>
                                <w:numId w:val="0"/>
                              </w:numPr>
                              <w:spacing w:before="60" w:after="60"/>
                              <w:rPr>
                                <w:lang w:val="en-US"/>
                              </w:rPr>
                            </w:pPr>
                            <w:r>
                              <w:rPr>
                                <w:lang w:val="en-US"/>
                              </w:rPr>
                              <w:t xml:space="preserve">In the first instance, the Royal Docks will need to focus on </w:t>
                            </w:r>
                            <w:r>
                              <w:t>establishing a clear ethos and identity,</w:t>
                            </w:r>
                            <w:r>
                              <w:rPr>
                                <w:lang w:val="en-US"/>
                              </w:rPr>
                              <w:t xml:space="preserve"> providing the right types of spaces, and creating attractive places to encourage business to touch down. Thereafter, ensuring longevity will be the priority: encouraging businesses to put down roots and establish networks and clusters, and marking the Royal Dock’s as a ‘sticking point’ within the wider eastward movement of the economy. </w:t>
                            </w:r>
                          </w:p>
                          <w:p w14:paraId="75C6DD43" w14:textId="77777777" w:rsidR="006F3AC6" w:rsidRPr="002E1F0F" w:rsidRDefault="006F3AC6" w:rsidP="00AA785A">
                            <w:pPr>
                              <w:pStyle w:val="RDBullet"/>
                              <w:numPr>
                                <w:ilvl w:val="0"/>
                                <w:numId w:val="0"/>
                              </w:numPr>
                              <w:spacing w:before="60" w:after="60"/>
                              <w:rPr>
                                <w:lang w:val="en-US"/>
                              </w:rPr>
                            </w:pPr>
                          </w:p>
                          <w:p w14:paraId="1559429C" w14:textId="77777777" w:rsidR="006F3AC6" w:rsidRPr="00A9660B" w:rsidRDefault="006F3AC6" w:rsidP="00AA785A">
                            <w:pPr>
                              <w:spacing w:before="60" w:after="60"/>
                              <w:rPr>
                                <w:lang w:val="en-US"/>
                              </w:rPr>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4B37BAC" id="_x0000_s1033" type="#_x0000_t202" style="position:absolute;left:0;text-align:left;margin-left:30.6pt;margin-top:143.75pt;width:433.6pt;height:170.4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" fillcolor="#d6dee3" stroked="f">
                <v:textbox>
                  <w:txbxContent>
                    <w:p w14:paraId="4AF5829F" w14:textId="41DFA8FA" w:rsidR="006F3AC6" w:rsidRDefault="006F3AC6" w:rsidP="00AA785A">
                      <w:pPr>
                        <w:pStyle w:val="RDTier2"/>
                        <w:spacing w:before="60" w:after="60"/>
                        <w:ind w:left="0"/>
                        <w:rPr>
                          <w:sz w:val="24"/>
                        </w:rPr>
                      </w:pPr>
                      <w:r w:rsidRPr="00D0201F">
                        <w:rPr>
                          <w:sz w:val="24"/>
                        </w:rPr>
                        <w:t>Implications for the Royal Docks Economic Purpose</w:t>
                      </w:r>
                    </w:p>
                    <w:p w14:paraId="24615B87" w14:textId="312BD916" w:rsidR="006F3AC6" w:rsidRDefault="006F3AC6" w:rsidP="00AA785A">
                      <w:pPr>
                        <w:pStyle w:val="RDBullet"/>
                        <w:numPr>
                          <w:ilvl w:val="0"/>
                          <w:numId w:val="0"/>
                        </w:numPr>
                        <w:spacing w:before="60" w:after="60"/>
                      </w:pPr>
                      <w:r>
                        <w:t>In stimulating demand, the Royal Docks will need to respond directly to wider economic and sector trends, both across London and nationally. However, in pursuing long term growth aspirations, the approach will need to ‘look beyond’ sectors: focusing instead on the bigger picture in terms of business needs and expectations, and adopting an approach which allows flexibility and dynamism to respond to opportunities as they emerge.</w:t>
                      </w:r>
                    </w:p>
                    <w:p w14:paraId="1646EF4E" w14:textId="19E25C43" w:rsidR="006F3AC6" w:rsidRDefault="006F3AC6" w:rsidP="00AA785A">
                      <w:pPr>
                        <w:pStyle w:val="RDBullet"/>
                        <w:numPr>
                          <w:ilvl w:val="0"/>
                          <w:numId w:val="0"/>
                        </w:numPr>
                        <w:spacing w:before="60" w:after="60"/>
                        <w:rPr>
                          <w:lang w:val="en-US"/>
                        </w:rPr>
                      </w:pPr>
                      <w:r>
                        <w:rPr>
                          <w:lang w:val="en-US"/>
                        </w:rPr>
                        <w:t xml:space="preserve">In the first instance, the Royal Docks will need to focus on </w:t>
                      </w:r>
                      <w:r>
                        <w:t>establishing a clear ethos and identity,</w:t>
                      </w:r>
                      <w:r>
                        <w:rPr>
                          <w:lang w:val="en-US"/>
                        </w:rPr>
                        <w:t xml:space="preserve"> providing the right types of spaces, and creating attractive places to encourage business to touch down. Thereafter, ensuring longevity will be the priority: encouraging businesses to put down roots and establish networks and clusters, and marking the Royal Dock’s as a ‘sticking point’ within the wider eastward movement of the economy. </w:t>
                      </w:r>
                    </w:p>
                    <w:p w14:paraId="75C6DD43" w14:textId="77777777" w:rsidR="006F3AC6" w:rsidRPr="002E1F0F" w:rsidRDefault="006F3AC6" w:rsidP="00AA785A">
                      <w:pPr>
                        <w:pStyle w:val="RDBullet"/>
                        <w:numPr>
                          <w:ilvl w:val="0"/>
                          <w:numId w:val="0"/>
                        </w:numPr>
                        <w:spacing w:before="60" w:after="60"/>
                        <w:rPr>
                          <w:lang w:val="en-US"/>
                        </w:rPr>
                      </w:pPr>
                    </w:p>
                    <w:p w14:paraId="1559429C" w14:textId="77777777" w:rsidR="006F3AC6" w:rsidRPr="00A9660B" w:rsidRDefault="006F3AC6" w:rsidP="00AA785A">
                      <w:pPr>
                        <w:spacing w:before="60" w:after="60"/>
                        <w:rPr>
                          <w:lang w:val="en-US"/>
                        </w:rPr>
                      </w:pPr>
                    </w:p>
                  </w:txbxContent>
                </v:textbox>
                <w10:wrap type="square" anchorx="margin"/>
              </v:shape>
            </w:pict>
          </mc:Fallback>
        </mc:AlternateContent>
      </w:r>
      <w:r w:rsidR="00FD1F41">
        <w:t xml:space="preserve">Recent years have </w:t>
      </w:r>
      <w:r w:rsidR="000D361C">
        <w:t xml:space="preserve">also </w:t>
      </w:r>
      <w:r w:rsidR="00FD1F41">
        <w:t>seen a number of marked spatial economic trends</w:t>
      </w:r>
      <w:r w:rsidR="0041119E">
        <w:t xml:space="preserve"> within London – most notably the ongoing ‘eastw</w:t>
      </w:r>
      <w:r w:rsidR="00510A7F">
        <w:t>a</w:t>
      </w:r>
      <w:r w:rsidR="0041119E">
        <w:t xml:space="preserve">rd’ movement of business and employment, particularly within creative </w:t>
      </w:r>
      <w:r w:rsidR="00AD43F3">
        <w:t xml:space="preserve">and cultural </w:t>
      </w:r>
      <w:r w:rsidR="0041119E">
        <w:t xml:space="preserve">sectors. </w:t>
      </w:r>
      <w:r w:rsidR="008419E2">
        <w:t>While in some case</w:t>
      </w:r>
      <w:r w:rsidR="00922394">
        <w:t>s</w:t>
      </w:r>
      <w:r w:rsidR="008419E2">
        <w:t xml:space="preserve"> this trend reflects proactive policy (for example the </w:t>
      </w:r>
      <w:r w:rsidR="00AD43F3">
        <w:t xml:space="preserve">largescale supply of new office space in Stratford, and development of the East Bank concept), there has also been a more organic trend of </w:t>
      </w:r>
      <w:r w:rsidR="002107DC">
        <w:t xml:space="preserve">small and creative </w:t>
      </w:r>
      <w:r w:rsidR="005D08A4">
        <w:t>enterprises</w:t>
      </w:r>
      <w:r w:rsidR="002107DC">
        <w:t xml:space="preserve"> moving north and east from Shoreditch and the City Fringe in search of</w:t>
      </w:r>
      <w:r w:rsidR="00C954A5">
        <w:t xml:space="preserve"> new (and more affordable) space, and </w:t>
      </w:r>
      <w:r w:rsidR="005D08A4">
        <w:t xml:space="preserve">culturally vibrant and diverse places. </w:t>
      </w:r>
      <w:r w:rsidR="00AD43F3">
        <w:t xml:space="preserve"> </w:t>
      </w:r>
    </w:p>
    <w:p w14:paraId="40F6425B" w14:textId="52AFCC26" w:rsidR="003033FC" w:rsidRDefault="003033FC" w:rsidP="003033FC">
      <w:pPr>
        <w:pStyle w:val="RDParagraph"/>
      </w:pPr>
      <w:r>
        <w:t>Consideration of growing and evolving demand within some of London’s most important growth sectors – and implications of this for the Royal Dock’s is provided in the table overleaf.</w:t>
      </w:r>
    </w:p>
    <w:p w14:paraId="2CADF780" w14:textId="46DD0815" w:rsidR="007F7F7A" w:rsidRDefault="008562C2" w:rsidP="007F7F7A">
      <w:pPr>
        <w:pStyle w:val="RDTier2"/>
        <w:ind w:left="0"/>
        <w:rPr>
          <w:i/>
          <w:sz w:val="22"/>
          <w:lang w:val="en-US"/>
        </w:rPr>
      </w:pPr>
      <w:r>
        <w:rPr>
          <w:i/>
          <w:sz w:val="22"/>
          <w:lang w:val="en-US"/>
        </w:rPr>
        <w:lastRenderedPageBreak/>
        <w:t>T</w:t>
      </w:r>
      <w:r w:rsidR="0062755C">
        <w:rPr>
          <w:i/>
          <w:sz w:val="22"/>
          <w:lang w:val="en-US"/>
        </w:rPr>
        <w:t>able 3.</w:t>
      </w:r>
      <w:r w:rsidR="006B40D0">
        <w:rPr>
          <w:i/>
          <w:sz w:val="22"/>
          <w:lang w:val="en-US"/>
        </w:rPr>
        <w:t>3</w:t>
      </w:r>
      <w:r w:rsidR="0062755C">
        <w:rPr>
          <w:i/>
          <w:sz w:val="22"/>
          <w:lang w:val="en-US"/>
        </w:rPr>
        <w:t xml:space="preserve">. </w:t>
      </w:r>
      <w:r w:rsidR="00BF0DE3" w:rsidRPr="00BF0DE3">
        <w:rPr>
          <w:i/>
          <w:sz w:val="22"/>
          <w:lang w:val="en-US"/>
        </w:rPr>
        <w:t>Snapshot of Evolving Demand within Key Sectors</w:t>
      </w:r>
    </w:p>
    <w:tbl>
      <w:tblPr>
        <w:tblStyle w:val="PlainTable4"/>
        <w:tblW w:w="0" w:type="auto"/>
        <w:tblLook w:val="0400" w:firstRow="0" w:lastRow="0" w:firstColumn="0" w:lastColumn="0" w:noHBand="0" w:noVBand="1"/>
      </w:tblPr>
      <w:tblGrid>
        <w:gridCol w:w="720"/>
        <w:gridCol w:w="2824"/>
        <w:gridCol w:w="2410"/>
        <w:gridCol w:w="1417"/>
        <w:gridCol w:w="2041"/>
      </w:tblGrid>
      <w:tr w:rsidR="00267FA4" w:rsidRPr="007F7F7A" w14:paraId="2756F825" w14:textId="77777777" w:rsidTr="00AD44C3">
        <w:trPr>
          <w:cnfStyle w:val="000000100000" w:firstRow="0" w:lastRow="0" w:firstColumn="0" w:lastColumn="0" w:oddVBand="0" w:evenVBand="0" w:oddHBand="1" w:evenHBand="0" w:firstRowFirstColumn="0" w:firstRowLastColumn="0" w:lastRowFirstColumn="0" w:lastRowLastColumn="0"/>
          <w:trHeight w:val="145"/>
        </w:trPr>
        <w:tc>
          <w:tcPr>
            <w:tcW w:w="720" w:type="dxa"/>
            <w:tcBorders>
              <w:top w:val="single" w:sz="18" w:space="0" w:color="244A5A" w:themeColor="accent3" w:themeShade="BF"/>
              <w:bottom w:val="single" w:sz="18" w:space="0" w:color="244A5A" w:themeColor="accent3" w:themeShade="BF"/>
              <w:right w:val="single" w:sz="18" w:space="0" w:color="244A5A" w:themeColor="accent3" w:themeShade="BF"/>
            </w:tcBorders>
          </w:tcPr>
          <w:p w14:paraId="28892308" w14:textId="77777777" w:rsidR="00D553F9" w:rsidRPr="007F7F7A" w:rsidRDefault="00D553F9" w:rsidP="00FA3139">
            <w:pPr>
              <w:pStyle w:val="TableTitleInTable"/>
              <w:rPr>
                <w:sz w:val="14"/>
                <w:lang w:val="en-US"/>
              </w:rPr>
            </w:pPr>
          </w:p>
        </w:tc>
        <w:tc>
          <w:tcPr>
            <w:tcW w:w="2824" w:type="dxa"/>
            <w:tcBorders>
              <w:top w:val="single" w:sz="18" w:space="0" w:color="244A5A" w:themeColor="accent3" w:themeShade="BF"/>
              <w:left w:val="single" w:sz="18" w:space="0" w:color="244A5A" w:themeColor="accent3" w:themeShade="BF"/>
              <w:bottom w:val="single" w:sz="18" w:space="0" w:color="244A5A" w:themeColor="accent3" w:themeShade="BF"/>
            </w:tcBorders>
          </w:tcPr>
          <w:p w14:paraId="3011AB52" w14:textId="43D09945" w:rsidR="00D553F9" w:rsidRPr="000A316C" w:rsidRDefault="00D553F9" w:rsidP="00FA3139">
            <w:pPr>
              <w:pStyle w:val="TableTitleInTable"/>
              <w:jc w:val="center"/>
              <w:rPr>
                <w:b/>
                <w:color w:val="FF5000" w:themeColor="accent6"/>
                <w:sz w:val="18"/>
                <w:lang w:val="en-US"/>
              </w:rPr>
            </w:pPr>
            <w:r w:rsidRPr="000A316C">
              <w:rPr>
                <w:b/>
                <w:color w:val="FF5000" w:themeColor="accent6"/>
                <w:sz w:val="18"/>
              </w:rPr>
              <w:t xml:space="preserve">Trends </w:t>
            </w:r>
          </w:p>
        </w:tc>
        <w:tc>
          <w:tcPr>
            <w:tcW w:w="2410" w:type="dxa"/>
            <w:tcBorders>
              <w:top w:val="single" w:sz="18" w:space="0" w:color="244A5A" w:themeColor="accent3" w:themeShade="BF"/>
              <w:bottom w:val="single" w:sz="18" w:space="0" w:color="244A5A" w:themeColor="accent3" w:themeShade="BF"/>
            </w:tcBorders>
          </w:tcPr>
          <w:p w14:paraId="30E63238" w14:textId="7A9F7E47" w:rsidR="00D553F9" w:rsidRPr="000A316C" w:rsidRDefault="00D553F9" w:rsidP="00FA3139">
            <w:pPr>
              <w:pStyle w:val="TableTitleInTable"/>
              <w:jc w:val="center"/>
              <w:rPr>
                <w:b/>
                <w:color w:val="FF5000" w:themeColor="accent6"/>
                <w:sz w:val="18"/>
                <w:lang w:val="en-US"/>
              </w:rPr>
            </w:pPr>
            <w:r w:rsidRPr="000A316C">
              <w:rPr>
                <w:b/>
                <w:color w:val="FF5000" w:themeColor="accent6"/>
                <w:sz w:val="18"/>
              </w:rPr>
              <w:t>Requirements</w:t>
            </w:r>
          </w:p>
        </w:tc>
        <w:tc>
          <w:tcPr>
            <w:tcW w:w="1417" w:type="dxa"/>
            <w:tcBorders>
              <w:top w:val="single" w:sz="18" w:space="0" w:color="244A5A" w:themeColor="accent3" w:themeShade="BF"/>
              <w:bottom w:val="single" w:sz="18" w:space="0" w:color="244A5A" w:themeColor="accent3" w:themeShade="BF"/>
            </w:tcBorders>
          </w:tcPr>
          <w:p w14:paraId="0A21687C" w14:textId="52671C82" w:rsidR="00D553F9" w:rsidRPr="000A316C" w:rsidRDefault="00D553F9" w:rsidP="00FA3139">
            <w:pPr>
              <w:pStyle w:val="TableTitleInTable"/>
              <w:jc w:val="center"/>
              <w:rPr>
                <w:b/>
                <w:color w:val="FF5000" w:themeColor="accent6"/>
                <w:sz w:val="18"/>
                <w:lang w:val="en-US"/>
              </w:rPr>
            </w:pPr>
            <w:r w:rsidRPr="000A316C">
              <w:rPr>
                <w:b/>
                <w:color w:val="FF5000" w:themeColor="accent6"/>
                <w:sz w:val="18"/>
              </w:rPr>
              <w:t>Sites</w:t>
            </w:r>
          </w:p>
        </w:tc>
        <w:tc>
          <w:tcPr>
            <w:tcW w:w="2041" w:type="dxa"/>
            <w:tcBorders>
              <w:top w:val="single" w:sz="18" w:space="0" w:color="244A5A" w:themeColor="accent3" w:themeShade="BF"/>
              <w:bottom w:val="single" w:sz="18" w:space="0" w:color="244A5A" w:themeColor="accent3" w:themeShade="BF"/>
            </w:tcBorders>
          </w:tcPr>
          <w:p w14:paraId="3EB2243B" w14:textId="56D02624" w:rsidR="00D553F9" w:rsidRPr="000A316C" w:rsidRDefault="00D553F9" w:rsidP="00FA3139">
            <w:pPr>
              <w:pStyle w:val="TableTitleInTable"/>
              <w:jc w:val="center"/>
              <w:rPr>
                <w:b/>
                <w:color w:val="FF5000" w:themeColor="accent6"/>
                <w:sz w:val="18"/>
                <w:lang w:val="en-US"/>
              </w:rPr>
            </w:pPr>
            <w:r w:rsidRPr="000A316C">
              <w:rPr>
                <w:b/>
                <w:color w:val="FF5000" w:themeColor="accent6"/>
                <w:sz w:val="18"/>
              </w:rPr>
              <w:t>Opportunity</w:t>
            </w:r>
          </w:p>
        </w:tc>
      </w:tr>
      <w:tr w:rsidR="00AD44C3" w:rsidRPr="007F7F7A" w14:paraId="21D7D3BF" w14:textId="77777777" w:rsidTr="00AD44C3">
        <w:trPr>
          <w:cantSplit/>
          <w:trHeight w:val="1134"/>
        </w:trPr>
        <w:tc>
          <w:tcPr>
            <w:tcW w:w="720" w:type="dxa"/>
            <w:tcBorders>
              <w:top w:val="single" w:sz="18" w:space="0" w:color="244A5A" w:themeColor="accent3" w:themeShade="BF"/>
              <w:bottom w:val="single" w:sz="8" w:space="0" w:color="FF5000" w:themeColor="accent6"/>
              <w:right w:val="single" w:sz="18" w:space="0" w:color="244A5A" w:themeColor="accent3" w:themeShade="BF"/>
            </w:tcBorders>
            <w:textDirection w:val="btLr"/>
            <w:vAlign w:val="center"/>
          </w:tcPr>
          <w:p w14:paraId="4E7A659A" w14:textId="1C598699" w:rsidR="00267FA4" w:rsidRPr="000A316C" w:rsidRDefault="00267FA4" w:rsidP="00267FA4">
            <w:pPr>
              <w:pStyle w:val="TableTitleInTable"/>
              <w:ind w:right="113"/>
              <w:jc w:val="center"/>
              <w:rPr>
                <w:b/>
                <w:color w:val="FF5000" w:themeColor="accent6"/>
                <w:sz w:val="18"/>
                <w:lang w:val="en-US"/>
              </w:rPr>
            </w:pPr>
            <w:r>
              <w:rPr>
                <w:rFonts w:cs="Arial"/>
                <w:b/>
                <w:bCs/>
                <w:color w:val="FF5000" w:themeColor="accent6"/>
                <w:sz w:val="18"/>
              </w:rPr>
              <w:t>Logistics</w:t>
            </w:r>
          </w:p>
        </w:tc>
        <w:tc>
          <w:tcPr>
            <w:tcW w:w="2824" w:type="dxa"/>
            <w:tcBorders>
              <w:top w:val="single" w:sz="18" w:space="0" w:color="244A5A" w:themeColor="accent3" w:themeShade="BF"/>
              <w:left w:val="single" w:sz="18" w:space="0" w:color="244A5A" w:themeColor="accent3" w:themeShade="BF"/>
              <w:bottom w:val="single" w:sz="8" w:space="0" w:color="FF5000" w:themeColor="accent6"/>
            </w:tcBorders>
          </w:tcPr>
          <w:p w14:paraId="0593C564" w14:textId="77777777" w:rsidR="00267FA4" w:rsidRPr="00651302" w:rsidRDefault="00267FA4" w:rsidP="00651302">
            <w:pPr>
              <w:pStyle w:val="TableBullet"/>
              <w:ind w:left="187" w:hanging="170"/>
              <w:rPr>
                <w:sz w:val="14"/>
                <w:szCs w:val="17"/>
              </w:rPr>
            </w:pPr>
            <w:r w:rsidRPr="00651302">
              <w:rPr>
                <w:sz w:val="14"/>
                <w:szCs w:val="17"/>
              </w:rPr>
              <w:t>Online retail and consumer demand driving demand for final mile services</w:t>
            </w:r>
          </w:p>
          <w:p w14:paraId="11084DC5" w14:textId="77777777" w:rsidR="00267FA4" w:rsidRPr="00651302" w:rsidRDefault="00267FA4" w:rsidP="00651302">
            <w:pPr>
              <w:pStyle w:val="TableBullet"/>
              <w:ind w:left="187" w:hanging="170"/>
              <w:rPr>
                <w:sz w:val="14"/>
                <w:szCs w:val="17"/>
              </w:rPr>
            </w:pPr>
            <w:r w:rsidRPr="00651302">
              <w:rPr>
                <w:sz w:val="14"/>
                <w:szCs w:val="17"/>
              </w:rPr>
              <w:t>Technological increasingly leading to more sophisticated premises – increasing automation</w:t>
            </w:r>
          </w:p>
          <w:p w14:paraId="2096EDEF" w14:textId="069C3A23" w:rsidR="00267FA4" w:rsidRPr="00933393" w:rsidRDefault="00267FA4" w:rsidP="00651302">
            <w:pPr>
              <w:pStyle w:val="TableBullet"/>
              <w:ind w:left="187" w:hanging="170"/>
              <w:rPr>
                <w:sz w:val="13"/>
                <w:szCs w:val="13"/>
                <w:lang w:val="en-US"/>
              </w:rPr>
            </w:pPr>
            <w:r w:rsidRPr="00651302">
              <w:rPr>
                <w:sz w:val="14"/>
                <w:szCs w:val="17"/>
              </w:rPr>
              <w:t>Significant pressure on space across London as a result of loss of industrial space and local policy emphasis on housing and more ‘aspirational’ sectors</w:t>
            </w:r>
          </w:p>
        </w:tc>
        <w:tc>
          <w:tcPr>
            <w:tcW w:w="2410" w:type="dxa"/>
            <w:tcBorders>
              <w:top w:val="single" w:sz="18" w:space="0" w:color="244A5A" w:themeColor="accent3" w:themeShade="BF"/>
              <w:bottom w:val="single" w:sz="8" w:space="0" w:color="FF5000" w:themeColor="accent6"/>
            </w:tcBorders>
          </w:tcPr>
          <w:p w14:paraId="607AA294" w14:textId="77777777" w:rsidR="00267FA4" w:rsidRPr="00AD44C3" w:rsidRDefault="00267FA4" w:rsidP="00AD44C3">
            <w:pPr>
              <w:pStyle w:val="TableBullet"/>
              <w:ind w:left="187" w:hanging="170"/>
              <w:rPr>
                <w:sz w:val="14"/>
                <w:szCs w:val="17"/>
              </w:rPr>
            </w:pPr>
            <w:r w:rsidRPr="00AD44C3">
              <w:rPr>
                <w:sz w:val="14"/>
                <w:szCs w:val="17"/>
              </w:rPr>
              <w:t>Accessible and well connected to strategic networks</w:t>
            </w:r>
          </w:p>
          <w:p w14:paraId="5BBBF323" w14:textId="77777777" w:rsidR="00267FA4" w:rsidRPr="00AD44C3" w:rsidRDefault="00267FA4" w:rsidP="00AD44C3">
            <w:pPr>
              <w:pStyle w:val="TableBullet"/>
              <w:ind w:left="187" w:hanging="170"/>
              <w:rPr>
                <w:sz w:val="14"/>
                <w:szCs w:val="17"/>
              </w:rPr>
            </w:pPr>
            <w:r w:rsidRPr="00AD44C3">
              <w:rPr>
                <w:sz w:val="14"/>
                <w:szCs w:val="17"/>
              </w:rPr>
              <w:t xml:space="preserve">Large sites and purpose built facilities </w:t>
            </w:r>
          </w:p>
          <w:p w14:paraId="645E9377" w14:textId="546B6AB8" w:rsidR="00267FA4" w:rsidRPr="00AD44C3" w:rsidRDefault="00267FA4" w:rsidP="00AD44C3">
            <w:pPr>
              <w:pStyle w:val="TableBullet"/>
              <w:ind w:left="187" w:hanging="170"/>
              <w:rPr>
                <w:sz w:val="14"/>
                <w:szCs w:val="17"/>
              </w:rPr>
            </w:pPr>
            <w:r w:rsidRPr="00AD44C3">
              <w:rPr>
                <w:sz w:val="14"/>
                <w:szCs w:val="17"/>
              </w:rPr>
              <w:t>Typically lower skilled employment – drivers and warehouse staff, but some higher skilled opportunities linked to tech</w:t>
            </w:r>
          </w:p>
        </w:tc>
        <w:tc>
          <w:tcPr>
            <w:tcW w:w="1417" w:type="dxa"/>
            <w:tcBorders>
              <w:top w:val="single" w:sz="18" w:space="0" w:color="244A5A" w:themeColor="accent3" w:themeShade="BF"/>
              <w:bottom w:val="single" w:sz="8" w:space="0" w:color="FF5000" w:themeColor="accent6"/>
            </w:tcBorders>
          </w:tcPr>
          <w:p w14:paraId="65FC6275" w14:textId="77777777" w:rsidR="00267FA4" w:rsidRPr="00AD44C3" w:rsidRDefault="00267FA4" w:rsidP="00AD44C3">
            <w:pPr>
              <w:pStyle w:val="TableBullet"/>
              <w:ind w:left="187" w:hanging="170"/>
              <w:rPr>
                <w:sz w:val="14"/>
                <w:szCs w:val="17"/>
              </w:rPr>
            </w:pPr>
            <w:r w:rsidRPr="00AD44C3">
              <w:rPr>
                <w:sz w:val="14"/>
                <w:szCs w:val="17"/>
              </w:rPr>
              <w:t>Industrial estates</w:t>
            </w:r>
          </w:p>
          <w:p w14:paraId="1E59FD9E" w14:textId="77777777" w:rsidR="00267FA4" w:rsidRPr="00AD44C3" w:rsidRDefault="00267FA4" w:rsidP="00AD44C3">
            <w:pPr>
              <w:pStyle w:val="TableBullet"/>
              <w:ind w:left="187" w:hanging="170"/>
              <w:rPr>
                <w:sz w:val="14"/>
                <w:szCs w:val="17"/>
              </w:rPr>
            </w:pPr>
            <w:r w:rsidRPr="00AD44C3">
              <w:rPr>
                <w:sz w:val="14"/>
                <w:szCs w:val="17"/>
              </w:rPr>
              <w:t>B8 - Shed and warehouses of varying sizes (depending on location in supply chain)</w:t>
            </w:r>
          </w:p>
          <w:p w14:paraId="7137667F" w14:textId="7D636B70" w:rsidR="00267FA4" w:rsidRPr="00AD44C3" w:rsidRDefault="00267FA4" w:rsidP="00AD44C3">
            <w:pPr>
              <w:pStyle w:val="TableBullet"/>
              <w:ind w:left="187" w:hanging="170"/>
              <w:rPr>
                <w:sz w:val="14"/>
                <w:szCs w:val="17"/>
              </w:rPr>
            </w:pPr>
            <w:r w:rsidRPr="00AD44C3">
              <w:rPr>
                <w:sz w:val="14"/>
                <w:szCs w:val="17"/>
              </w:rPr>
              <w:t>Increasing flexibility and testing of new models</w:t>
            </w:r>
          </w:p>
        </w:tc>
        <w:tc>
          <w:tcPr>
            <w:tcW w:w="2041" w:type="dxa"/>
            <w:tcBorders>
              <w:top w:val="single" w:sz="18" w:space="0" w:color="244A5A" w:themeColor="accent3" w:themeShade="BF"/>
              <w:bottom w:val="single" w:sz="8" w:space="0" w:color="FF5000" w:themeColor="accent6"/>
            </w:tcBorders>
          </w:tcPr>
          <w:p w14:paraId="7468C2DC" w14:textId="0EC0BA19" w:rsidR="00AA6BAE" w:rsidRDefault="00267FA4" w:rsidP="00AA6BAE">
            <w:pPr>
              <w:pStyle w:val="TableTitleInTable"/>
              <w:jc w:val="center"/>
              <w:rPr>
                <w:sz w:val="13"/>
                <w:szCs w:val="13"/>
              </w:rPr>
            </w:pPr>
            <w:r w:rsidRPr="002620AB">
              <w:rPr>
                <w:rFonts w:ascii="Source Sans Pro" w:hAnsi="Source Sans Pro"/>
                <w:color w:val="00B050"/>
                <w:sz w:val="18"/>
                <w:szCs w:val="13"/>
                <w:lang w:val="en-US"/>
              </w:rPr>
              <w:t>✓✓</w:t>
            </w:r>
            <w:r w:rsidR="00AA6BAE" w:rsidRPr="002620AB">
              <w:rPr>
                <w:rFonts w:ascii="Source Sans Pro" w:hAnsi="Source Sans Pro"/>
                <w:color w:val="00B050"/>
                <w:sz w:val="18"/>
                <w:szCs w:val="13"/>
                <w:lang w:val="en-US"/>
              </w:rPr>
              <w:t>✓</w:t>
            </w:r>
          </w:p>
          <w:p w14:paraId="61DFDDB2" w14:textId="0A67BCA2" w:rsidR="00267FA4" w:rsidRPr="00267FA4" w:rsidRDefault="00267FA4" w:rsidP="00854F11">
            <w:pPr>
              <w:pStyle w:val="TableTitleInTable"/>
              <w:rPr>
                <w:sz w:val="13"/>
                <w:szCs w:val="13"/>
              </w:rPr>
            </w:pPr>
            <w:r w:rsidRPr="00A94D02">
              <w:rPr>
                <w:sz w:val="13"/>
                <w:szCs w:val="13"/>
              </w:rPr>
              <w:t xml:space="preserve">Demand is strong, and </w:t>
            </w:r>
            <w:r w:rsidR="006F6225">
              <w:rPr>
                <w:sz w:val="13"/>
                <w:szCs w:val="13"/>
              </w:rPr>
              <w:t xml:space="preserve">an </w:t>
            </w:r>
            <w:r w:rsidRPr="00A94D02">
              <w:rPr>
                <w:sz w:val="13"/>
                <w:szCs w:val="13"/>
              </w:rPr>
              <w:t>important sector for Newham and London</w:t>
            </w:r>
            <w:r w:rsidR="009039CB">
              <w:rPr>
                <w:sz w:val="13"/>
                <w:szCs w:val="13"/>
              </w:rPr>
              <w:t xml:space="preserve">. </w:t>
            </w:r>
            <w:r w:rsidR="00854F11">
              <w:rPr>
                <w:sz w:val="13"/>
                <w:szCs w:val="13"/>
              </w:rPr>
              <w:t>Significant s</w:t>
            </w:r>
            <w:r w:rsidR="00AA6BAE">
              <w:rPr>
                <w:sz w:val="13"/>
                <w:szCs w:val="13"/>
              </w:rPr>
              <w:t>trategic</w:t>
            </w:r>
            <w:r>
              <w:rPr>
                <w:sz w:val="13"/>
                <w:szCs w:val="13"/>
              </w:rPr>
              <w:t xml:space="preserve"> industrial designations </w:t>
            </w:r>
            <w:r w:rsidR="00AA6BAE">
              <w:rPr>
                <w:sz w:val="13"/>
                <w:szCs w:val="13"/>
              </w:rPr>
              <w:t>across the Opportunity Area</w:t>
            </w:r>
            <w:r w:rsidR="009039CB">
              <w:rPr>
                <w:sz w:val="13"/>
                <w:szCs w:val="13"/>
              </w:rPr>
              <w:t>. While typically providing lower density and productivity opp</w:t>
            </w:r>
            <w:r w:rsidRPr="00A94D02">
              <w:rPr>
                <w:sz w:val="13"/>
                <w:szCs w:val="13"/>
              </w:rPr>
              <w:t>ortunit</w:t>
            </w:r>
            <w:r w:rsidR="009039CB">
              <w:rPr>
                <w:sz w:val="13"/>
                <w:szCs w:val="13"/>
              </w:rPr>
              <w:t xml:space="preserve">ies, </w:t>
            </w:r>
            <w:r w:rsidR="00854F11">
              <w:rPr>
                <w:sz w:val="13"/>
                <w:szCs w:val="13"/>
              </w:rPr>
              <w:t xml:space="preserve">will to provide an important source of jobs over the short </w:t>
            </w:r>
            <w:r w:rsidR="009C0782">
              <w:rPr>
                <w:sz w:val="13"/>
                <w:szCs w:val="13"/>
              </w:rPr>
              <w:t>&amp;</w:t>
            </w:r>
            <w:r w:rsidR="00854F11">
              <w:rPr>
                <w:sz w:val="13"/>
                <w:szCs w:val="13"/>
              </w:rPr>
              <w:t xml:space="preserve"> medium term.</w:t>
            </w:r>
          </w:p>
        </w:tc>
      </w:tr>
      <w:tr w:rsidR="00AD44C3" w:rsidRPr="007F7F7A" w14:paraId="7957D7BD" w14:textId="77777777" w:rsidTr="00AD44C3">
        <w:trPr>
          <w:cnfStyle w:val="000000100000" w:firstRow="0" w:lastRow="0" w:firstColumn="0" w:lastColumn="0" w:oddVBand="0" w:evenVBand="0" w:oddHBand="1" w:evenHBand="0" w:firstRowFirstColumn="0" w:firstRowLastColumn="0" w:lastRowFirstColumn="0" w:lastRowLastColumn="0"/>
          <w:cantSplit/>
          <w:trHeight w:val="1134"/>
        </w:trPr>
        <w:tc>
          <w:tcPr>
            <w:tcW w:w="720" w:type="dxa"/>
            <w:tcBorders>
              <w:top w:val="single" w:sz="8" w:space="0" w:color="FF5000" w:themeColor="accent6"/>
              <w:bottom w:val="single" w:sz="8" w:space="0" w:color="FF5000" w:themeColor="accent6"/>
              <w:right w:val="single" w:sz="18" w:space="0" w:color="244A5A" w:themeColor="accent3" w:themeShade="BF"/>
            </w:tcBorders>
            <w:textDirection w:val="btLr"/>
            <w:vAlign w:val="center"/>
          </w:tcPr>
          <w:p w14:paraId="4F9661C9" w14:textId="77777777" w:rsidR="00267FA4" w:rsidRDefault="00267FA4" w:rsidP="00267FA4">
            <w:pPr>
              <w:pStyle w:val="TableTitleInTable"/>
              <w:ind w:right="113"/>
              <w:jc w:val="center"/>
              <w:rPr>
                <w:rFonts w:cs="Arial"/>
                <w:b/>
                <w:bCs/>
                <w:color w:val="FF5000" w:themeColor="accent6"/>
                <w:sz w:val="16"/>
              </w:rPr>
            </w:pPr>
            <w:r w:rsidRPr="00267FA4">
              <w:rPr>
                <w:rFonts w:cs="Arial"/>
                <w:b/>
                <w:bCs/>
                <w:color w:val="FF5000" w:themeColor="accent6"/>
                <w:sz w:val="16"/>
              </w:rPr>
              <w:t xml:space="preserve">Advanced </w:t>
            </w:r>
          </w:p>
          <w:p w14:paraId="6FE303FA" w14:textId="4BF02A2E" w:rsidR="00267FA4" w:rsidRPr="00267FA4" w:rsidRDefault="00267FA4" w:rsidP="00267FA4">
            <w:pPr>
              <w:pStyle w:val="TableTitleInTable"/>
              <w:ind w:right="113"/>
              <w:jc w:val="center"/>
              <w:rPr>
                <w:b/>
                <w:color w:val="FF5000" w:themeColor="accent6"/>
                <w:sz w:val="16"/>
                <w:lang w:val="en-US"/>
              </w:rPr>
            </w:pPr>
            <w:r w:rsidRPr="00267FA4">
              <w:rPr>
                <w:rFonts w:cs="Arial"/>
                <w:b/>
                <w:bCs/>
                <w:color w:val="FF5000" w:themeColor="accent6"/>
                <w:sz w:val="16"/>
              </w:rPr>
              <w:t>Manufacturing</w:t>
            </w:r>
          </w:p>
        </w:tc>
        <w:tc>
          <w:tcPr>
            <w:tcW w:w="2824" w:type="dxa"/>
            <w:tcBorders>
              <w:top w:val="single" w:sz="8" w:space="0" w:color="FF5000" w:themeColor="accent6"/>
              <w:left w:val="single" w:sz="18" w:space="0" w:color="244A5A" w:themeColor="accent3" w:themeShade="BF"/>
              <w:bottom w:val="single" w:sz="8" w:space="0" w:color="FF5000" w:themeColor="accent6"/>
            </w:tcBorders>
          </w:tcPr>
          <w:p w14:paraId="0C2423EA" w14:textId="77777777" w:rsidR="00267FA4" w:rsidRPr="00AD44C3" w:rsidRDefault="00267FA4" w:rsidP="00AD44C3">
            <w:pPr>
              <w:pStyle w:val="TableBullet"/>
              <w:ind w:left="187" w:hanging="170"/>
              <w:rPr>
                <w:sz w:val="14"/>
                <w:szCs w:val="17"/>
              </w:rPr>
            </w:pPr>
            <w:r w:rsidRPr="00AD44C3">
              <w:rPr>
                <w:sz w:val="14"/>
                <w:szCs w:val="17"/>
              </w:rPr>
              <w:t>International demand</w:t>
            </w:r>
          </w:p>
          <w:p w14:paraId="61828778" w14:textId="77777777" w:rsidR="00267FA4" w:rsidRPr="00AD44C3" w:rsidRDefault="00267FA4" w:rsidP="00AD44C3">
            <w:pPr>
              <w:pStyle w:val="TableBullet"/>
              <w:ind w:left="187" w:hanging="170"/>
              <w:rPr>
                <w:sz w:val="14"/>
                <w:szCs w:val="17"/>
              </w:rPr>
            </w:pPr>
            <w:r w:rsidRPr="00AD44C3">
              <w:rPr>
                <w:sz w:val="14"/>
                <w:szCs w:val="17"/>
              </w:rPr>
              <w:t>Technological advancements (e.g. robotics, 3D printing) opening sector to low volume, niche and smaller firms</w:t>
            </w:r>
          </w:p>
          <w:p w14:paraId="6338F03C" w14:textId="67940106" w:rsidR="00267FA4" w:rsidRPr="00AD44C3" w:rsidRDefault="00267FA4" w:rsidP="00AD44C3">
            <w:pPr>
              <w:pStyle w:val="TableBullet"/>
              <w:ind w:left="187" w:hanging="170"/>
              <w:rPr>
                <w:sz w:val="14"/>
                <w:szCs w:val="17"/>
              </w:rPr>
            </w:pPr>
            <w:r w:rsidRPr="00AD44C3">
              <w:rPr>
                <w:sz w:val="14"/>
                <w:szCs w:val="17"/>
              </w:rPr>
              <w:t>Skills gaps hindering potential development due to R&amp;D requirements.</w:t>
            </w:r>
          </w:p>
        </w:tc>
        <w:tc>
          <w:tcPr>
            <w:tcW w:w="2410" w:type="dxa"/>
            <w:tcBorders>
              <w:top w:val="single" w:sz="8" w:space="0" w:color="FF5000" w:themeColor="accent6"/>
              <w:bottom w:val="single" w:sz="8" w:space="0" w:color="FF5000" w:themeColor="accent6"/>
            </w:tcBorders>
          </w:tcPr>
          <w:p w14:paraId="705BE50E" w14:textId="77777777" w:rsidR="00267FA4" w:rsidRPr="00AD44C3" w:rsidRDefault="00267FA4" w:rsidP="00AD44C3">
            <w:pPr>
              <w:pStyle w:val="TableBullet"/>
              <w:ind w:left="187" w:hanging="170"/>
              <w:rPr>
                <w:sz w:val="14"/>
                <w:szCs w:val="17"/>
              </w:rPr>
            </w:pPr>
            <w:r w:rsidRPr="00AD44C3">
              <w:rPr>
                <w:sz w:val="14"/>
                <w:szCs w:val="17"/>
              </w:rPr>
              <w:t>Close to existing skilled workforce</w:t>
            </w:r>
          </w:p>
          <w:p w14:paraId="106F5096" w14:textId="77777777" w:rsidR="00267FA4" w:rsidRPr="00AD44C3" w:rsidRDefault="00267FA4" w:rsidP="00AD44C3">
            <w:pPr>
              <w:pStyle w:val="TableBullet"/>
              <w:ind w:left="187" w:hanging="170"/>
              <w:rPr>
                <w:sz w:val="14"/>
                <w:szCs w:val="17"/>
              </w:rPr>
            </w:pPr>
            <w:r w:rsidRPr="00AD44C3">
              <w:rPr>
                <w:sz w:val="14"/>
                <w:szCs w:val="17"/>
              </w:rPr>
              <w:t>Typically require a larger plot with purpose built premises</w:t>
            </w:r>
          </w:p>
          <w:p w14:paraId="19733FC5" w14:textId="77777777" w:rsidR="00267FA4" w:rsidRPr="00AD44C3" w:rsidRDefault="00267FA4" w:rsidP="00AD44C3">
            <w:pPr>
              <w:pStyle w:val="TableBullet"/>
              <w:ind w:left="187" w:hanging="170"/>
              <w:rPr>
                <w:sz w:val="14"/>
                <w:szCs w:val="17"/>
              </w:rPr>
            </w:pPr>
            <w:r w:rsidRPr="00AD44C3">
              <w:rPr>
                <w:sz w:val="14"/>
                <w:szCs w:val="17"/>
              </w:rPr>
              <w:t>Good comms and access to large and growing markets and key customers</w:t>
            </w:r>
          </w:p>
          <w:p w14:paraId="756221A9" w14:textId="77777777" w:rsidR="00267FA4" w:rsidRPr="00AD44C3" w:rsidRDefault="00267FA4" w:rsidP="00AD44C3">
            <w:pPr>
              <w:pStyle w:val="TableBullet"/>
              <w:ind w:left="187" w:hanging="170"/>
              <w:rPr>
                <w:sz w:val="14"/>
                <w:szCs w:val="17"/>
              </w:rPr>
            </w:pPr>
            <w:r w:rsidRPr="00AD44C3">
              <w:rPr>
                <w:sz w:val="14"/>
                <w:szCs w:val="17"/>
              </w:rPr>
              <w:t>Quality work environment</w:t>
            </w:r>
          </w:p>
          <w:p w14:paraId="0BE9922F" w14:textId="50B239F8" w:rsidR="00267FA4" w:rsidRPr="00AD44C3" w:rsidRDefault="00267FA4" w:rsidP="00AD44C3">
            <w:pPr>
              <w:pStyle w:val="TableBullet"/>
              <w:ind w:left="187" w:hanging="170"/>
              <w:rPr>
                <w:sz w:val="14"/>
                <w:szCs w:val="17"/>
              </w:rPr>
            </w:pPr>
            <w:r w:rsidRPr="00AD44C3">
              <w:rPr>
                <w:sz w:val="14"/>
                <w:szCs w:val="17"/>
              </w:rPr>
              <w:t>May require government support</w:t>
            </w:r>
          </w:p>
        </w:tc>
        <w:tc>
          <w:tcPr>
            <w:tcW w:w="1417" w:type="dxa"/>
            <w:tcBorders>
              <w:top w:val="single" w:sz="8" w:space="0" w:color="FF5000" w:themeColor="accent6"/>
              <w:bottom w:val="single" w:sz="8" w:space="0" w:color="FF5000" w:themeColor="accent6"/>
            </w:tcBorders>
          </w:tcPr>
          <w:p w14:paraId="394C5CC1" w14:textId="77777777" w:rsidR="00267FA4" w:rsidRPr="00AD44C3" w:rsidRDefault="00267FA4" w:rsidP="00AD44C3">
            <w:pPr>
              <w:pStyle w:val="TableBullet"/>
              <w:ind w:left="187" w:hanging="170"/>
              <w:rPr>
                <w:sz w:val="14"/>
                <w:szCs w:val="17"/>
              </w:rPr>
            </w:pPr>
            <w:r w:rsidRPr="00AD44C3">
              <w:rPr>
                <w:sz w:val="14"/>
                <w:szCs w:val="17"/>
              </w:rPr>
              <w:t>Industrial estates / local sites</w:t>
            </w:r>
          </w:p>
          <w:p w14:paraId="418F3626" w14:textId="77777777" w:rsidR="00267FA4" w:rsidRPr="00AD44C3" w:rsidRDefault="00267FA4" w:rsidP="00AD44C3">
            <w:pPr>
              <w:pStyle w:val="TableBullet"/>
              <w:ind w:left="187" w:hanging="170"/>
              <w:rPr>
                <w:sz w:val="14"/>
                <w:szCs w:val="17"/>
              </w:rPr>
            </w:pPr>
            <w:r w:rsidRPr="00AD44C3">
              <w:rPr>
                <w:sz w:val="14"/>
                <w:szCs w:val="17"/>
              </w:rPr>
              <w:t>Major Business Park</w:t>
            </w:r>
          </w:p>
          <w:p w14:paraId="74786FCE" w14:textId="2E1D2812" w:rsidR="00267FA4" w:rsidRPr="00AD44C3" w:rsidRDefault="00267FA4" w:rsidP="00AD44C3">
            <w:pPr>
              <w:pStyle w:val="TableBullet"/>
              <w:ind w:left="187" w:hanging="170"/>
              <w:rPr>
                <w:sz w:val="14"/>
                <w:szCs w:val="17"/>
              </w:rPr>
            </w:pPr>
            <w:r w:rsidRPr="00AD44C3">
              <w:rPr>
                <w:sz w:val="14"/>
                <w:szCs w:val="17"/>
              </w:rPr>
              <w:t>Spaces - B1b (R&amp;D Space) and B2 (Industrial &amp; Manufacturing)</w:t>
            </w:r>
          </w:p>
        </w:tc>
        <w:tc>
          <w:tcPr>
            <w:tcW w:w="2041" w:type="dxa"/>
            <w:tcBorders>
              <w:top w:val="single" w:sz="8" w:space="0" w:color="FF5000" w:themeColor="accent6"/>
              <w:bottom w:val="single" w:sz="8" w:space="0" w:color="FF5000" w:themeColor="accent6"/>
            </w:tcBorders>
          </w:tcPr>
          <w:p w14:paraId="1009290A" w14:textId="77777777" w:rsidR="00267FA4" w:rsidRDefault="00267FA4" w:rsidP="00267FA4">
            <w:pPr>
              <w:pStyle w:val="TableTitleInTable"/>
              <w:jc w:val="center"/>
              <w:rPr>
                <w:sz w:val="13"/>
                <w:szCs w:val="13"/>
              </w:rPr>
            </w:pPr>
            <w:r w:rsidRPr="002620AB">
              <w:rPr>
                <w:rFonts w:ascii="Source Sans Pro" w:hAnsi="Source Sans Pro"/>
                <w:color w:val="00B050"/>
                <w:sz w:val="18"/>
                <w:szCs w:val="13"/>
                <w:lang w:val="en-US"/>
              </w:rPr>
              <w:t>✓✓✓</w:t>
            </w:r>
          </w:p>
          <w:p w14:paraId="35243908" w14:textId="5034A2AF" w:rsidR="00267FA4" w:rsidRPr="00267FA4" w:rsidRDefault="00267FA4" w:rsidP="00092DB4">
            <w:pPr>
              <w:pStyle w:val="TableTitleInTable"/>
              <w:rPr>
                <w:sz w:val="13"/>
                <w:szCs w:val="13"/>
              </w:rPr>
            </w:pPr>
            <w:r w:rsidRPr="00A94D02">
              <w:rPr>
                <w:sz w:val="13"/>
                <w:szCs w:val="13"/>
              </w:rPr>
              <w:t>Currently small scale, but a priority sector for growth</w:t>
            </w:r>
            <w:r>
              <w:rPr>
                <w:sz w:val="13"/>
                <w:szCs w:val="13"/>
              </w:rPr>
              <w:t xml:space="preserve"> in London</w:t>
            </w:r>
            <w:r w:rsidRPr="00A94D02">
              <w:rPr>
                <w:sz w:val="13"/>
                <w:szCs w:val="13"/>
              </w:rPr>
              <w:t>; existing manufacturing strengths</w:t>
            </w:r>
            <w:r>
              <w:rPr>
                <w:sz w:val="13"/>
                <w:szCs w:val="13"/>
              </w:rPr>
              <w:t xml:space="preserve">, </w:t>
            </w:r>
            <w:r w:rsidR="00092DB4">
              <w:rPr>
                <w:sz w:val="13"/>
                <w:szCs w:val="13"/>
              </w:rPr>
              <w:t xml:space="preserve">industrial space  /land, </w:t>
            </w:r>
            <w:r w:rsidRPr="00A94D02">
              <w:rPr>
                <w:sz w:val="13"/>
                <w:szCs w:val="13"/>
              </w:rPr>
              <w:t>transport, and HEI means there is some limited potential for growth</w:t>
            </w:r>
            <w:r>
              <w:rPr>
                <w:sz w:val="13"/>
                <w:szCs w:val="13"/>
              </w:rPr>
              <w:t xml:space="preserve"> (e.g maritime engineering)</w:t>
            </w:r>
          </w:p>
        </w:tc>
      </w:tr>
      <w:tr w:rsidR="00AD44C3" w:rsidRPr="007F7F7A" w14:paraId="48BCBA12" w14:textId="77777777" w:rsidTr="00AD44C3">
        <w:trPr>
          <w:cantSplit/>
          <w:trHeight w:val="1134"/>
        </w:trPr>
        <w:tc>
          <w:tcPr>
            <w:tcW w:w="720" w:type="dxa"/>
            <w:tcBorders>
              <w:top w:val="single" w:sz="8" w:space="0" w:color="FF5000" w:themeColor="accent6"/>
              <w:bottom w:val="single" w:sz="8" w:space="0" w:color="FF5000" w:themeColor="accent6"/>
              <w:right w:val="single" w:sz="18" w:space="0" w:color="244A5A" w:themeColor="accent3" w:themeShade="BF"/>
            </w:tcBorders>
            <w:textDirection w:val="btLr"/>
            <w:vAlign w:val="center"/>
          </w:tcPr>
          <w:p w14:paraId="39FC61F3" w14:textId="14E82695" w:rsidR="00267FA4" w:rsidRPr="00267FA4" w:rsidRDefault="00267FA4" w:rsidP="00267FA4">
            <w:pPr>
              <w:pStyle w:val="TableTitleInTable"/>
              <w:ind w:right="113"/>
              <w:jc w:val="center"/>
              <w:rPr>
                <w:b/>
                <w:color w:val="FF5000" w:themeColor="accent6"/>
                <w:sz w:val="16"/>
                <w:lang w:val="en-US"/>
              </w:rPr>
            </w:pPr>
            <w:r w:rsidRPr="00267FA4">
              <w:rPr>
                <w:rFonts w:cs="Arial"/>
                <w:b/>
                <w:bCs/>
                <w:color w:val="FF5000" w:themeColor="accent6"/>
                <w:sz w:val="16"/>
              </w:rPr>
              <w:t>Creative Production</w:t>
            </w:r>
          </w:p>
        </w:tc>
        <w:tc>
          <w:tcPr>
            <w:tcW w:w="2824" w:type="dxa"/>
            <w:tcBorders>
              <w:top w:val="single" w:sz="8" w:space="0" w:color="FF5000" w:themeColor="accent6"/>
              <w:left w:val="single" w:sz="18" w:space="0" w:color="244A5A" w:themeColor="accent3" w:themeShade="BF"/>
              <w:bottom w:val="single" w:sz="8" w:space="0" w:color="FF5000" w:themeColor="accent6"/>
            </w:tcBorders>
          </w:tcPr>
          <w:p w14:paraId="2D15BCD2" w14:textId="77777777" w:rsidR="00267FA4" w:rsidRPr="00AD44C3" w:rsidRDefault="00267FA4" w:rsidP="00AD44C3">
            <w:pPr>
              <w:pStyle w:val="TableBullet"/>
              <w:ind w:left="187" w:hanging="170"/>
              <w:rPr>
                <w:sz w:val="14"/>
                <w:szCs w:val="17"/>
              </w:rPr>
            </w:pPr>
            <w:r w:rsidRPr="00AD44C3">
              <w:rPr>
                <w:sz w:val="14"/>
                <w:szCs w:val="17"/>
              </w:rPr>
              <w:t>Growth in the maker economy being driven by tech innovation in the means of production (e.g. 3D printing)</w:t>
            </w:r>
          </w:p>
          <w:p w14:paraId="35F99596" w14:textId="77777777" w:rsidR="00267FA4" w:rsidRPr="00AD44C3" w:rsidRDefault="00267FA4" w:rsidP="00AD44C3">
            <w:pPr>
              <w:pStyle w:val="TableBullet"/>
              <w:ind w:left="187" w:hanging="170"/>
              <w:rPr>
                <w:sz w:val="14"/>
                <w:szCs w:val="17"/>
              </w:rPr>
            </w:pPr>
            <w:r w:rsidRPr="00AD44C3">
              <w:rPr>
                <w:sz w:val="14"/>
                <w:szCs w:val="17"/>
              </w:rPr>
              <w:t xml:space="preserve">Online retailing gives SMEs a new platform to sell products </w:t>
            </w:r>
          </w:p>
          <w:p w14:paraId="42EC7867" w14:textId="3191EC7D" w:rsidR="00267FA4" w:rsidRPr="00AD44C3" w:rsidRDefault="00267FA4" w:rsidP="00AD44C3">
            <w:pPr>
              <w:pStyle w:val="TableBullet"/>
              <w:ind w:left="187" w:hanging="170"/>
              <w:rPr>
                <w:sz w:val="14"/>
                <w:szCs w:val="17"/>
              </w:rPr>
            </w:pPr>
            <w:r w:rsidRPr="00AD44C3">
              <w:rPr>
                <w:sz w:val="14"/>
                <w:szCs w:val="17"/>
              </w:rPr>
              <w:t>Increasing automation will see creative talent set up new businesses</w:t>
            </w:r>
          </w:p>
          <w:p w14:paraId="04D3EA41" w14:textId="77777777" w:rsidR="00267FA4" w:rsidRPr="00AD44C3" w:rsidRDefault="00267FA4" w:rsidP="00AD44C3">
            <w:pPr>
              <w:pStyle w:val="TableBullet"/>
              <w:ind w:left="187" w:hanging="170"/>
              <w:rPr>
                <w:sz w:val="14"/>
                <w:szCs w:val="17"/>
              </w:rPr>
            </w:pPr>
            <w:r w:rsidRPr="00AD44C3">
              <w:rPr>
                <w:sz w:val="14"/>
                <w:szCs w:val="17"/>
              </w:rPr>
              <w:t>Flexible &amp; collaborative working.</w:t>
            </w:r>
          </w:p>
          <w:p w14:paraId="0AB138AE" w14:textId="50CE6321" w:rsidR="00267FA4" w:rsidRPr="00AD44C3" w:rsidRDefault="00267FA4" w:rsidP="00AD44C3">
            <w:pPr>
              <w:pStyle w:val="TableBullet"/>
              <w:ind w:left="187" w:hanging="170"/>
              <w:rPr>
                <w:sz w:val="14"/>
                <w:szCs w:val="17"/>
              </w:rPr>
            </w:pPr>
            <w:r w:rsidRPr="00AD44C3">
              <w:rPr>
                <w:sz w:val="14"/>
                <w:szCs w:val="17"/>
              </w:rPr>
              <w:t>Evidence of strong demand in London for certain types of production spaces – e.g. film studios</w:t>
            </w:r>
          </w:p>
        </w:tc>
        <w:tc>
          <w:tcPr>
            <w:tcW w:w="2410" w:type="dxa"/>
            <w:tcBorders>
              <w:top w:val="single" w:sz="8" w:space="0" w:color="FF5000" w:themeColor="accent6"/>
              <w:bottom w:val="single" w:sz="8" w:space="0" w:color="FF5000" w:themeColor="accent6"/>
            </w:tcBorders>
          </w:tcPr>
          <w:p w14:paraId="66D7877C" w14:textId="77777777" w:rsidR="00267FA4" w:rsidRPr="00AD44C3" w:rsidRDefault="00267FA4" w:rsidP="00AD44C3">
            <w:pPr>
              <w:pStyle w:val="TableBullet"/>
              <w:ind w:left="187" w:hanging="170"/>
              <w:rPr>
                <w:sz w:val="14"/>
                <w:szCs w:val="17"/>
              </w:rPr>
            </w:pPr>
            <w:r w:rsidRPr="00AD44C3">
              <w:rPr>
                <w:sz w:val="14"/>
                <w:szCs w:val="17"/>
              </w:rPr>
              <w:t>Close to skilled workforce</w:t>
            </w:r>
          </w:p>
          <w:p w14:paraId="75758785" w14:textId="77777777" w:rsidR="00267FA4" w:rsidRPr="00AD44C3" w:rsidRDefault="00267FA4" w:rsidP="00AD44C3">
            <w:pPr>
              <w:pStyle w:val="TableBullet"/>
              <w:ind w:left="187" w:hanging="170"/>
              <w:rPr>
                <w:sz w:val="14"/>
                <w:szCs w:val="17"/>
              </w:rPr>
            </w:pPr>
            <w:r w:rsidRPr="00AD44C3">
              <w:rPr>
                <w:sz w:val="14"/>
                <w:szCs w:val="17"/>
              </w:rPr>
              <w:t>High propensity to cluster</w:t>
            </w:r>
          </w:p>
          <w:p w14:paraId="38DCF39A" w14:textId="77777777" w:rsidR="00267FA4" w:rsidRPr="00AD44C3" w:rsidRDefault="00267FA4" w:rsidP="00AD44C3">
            <w:pPr>
              <w:pStyle w:val="TableBullet"/>
              <w:ind w:left="187" w:hanging="170"/>
              <w:rPr>
                <w:sz w:val="14"/>
                <w:szCs w:val="17"/>
              </w:rPr>
            </w:pPr>
            <w:r w:rsidRPr="00AD44C3">
              <w:rPr>
                <w:sz w:val="14"/>
                <w:szCs w:val="17"/>
              </w:rPr>
              <w:t>Accessibility to labour, customers and markets</w:t>
            </w:r>
          </w:p>
          <w:p w14:paraId="0F7A1F35" w14:textId="77777777" w:rsidR="00267FA4" w:rsidRPr="00AD44C3" w:rsidRDefault="00267FA4" w:rsidP="00AD44C3">
            <w:pPr>
              <w:pStyle w:val="TableBullet"/>
              <w:ind w:left="187" w:hanging="170"/>
              <w:rPr>
                <w:sz w:val="14"/>
                <w:szCs w:val="17"/>
              </w:rPr>
            </w:pPr>
            <w:r w:rsidRPr="00AD44C3">
              <w:rPr>
                <w:sz w:val="14"/>
                <w:szCs w:val="17"/>
              </w:rPr>
              <w:t>Flexible premises</w:t>
            </w:r>
          </w:p>
          <w:p w14:paraId="2CAAFA45" w14:textId="5B0BF9F0" w:rsidR="00267FA4" w:rsidRPr="00AD44C3" w:rsidRDefault="00267FA4" w:rsidP="00AD44C3">
            <w:pPr>
              <w:pStyle w:val="TableBullet"/>
              <w:ind w:left="187" w:hanging="170"/>
              <w:rPr>
                <w:sz w:val="14"/>
                <w:szCs w:val="17"/>
              </w:rPr>
            </w:pPr>
            <w:r w:rsidRPr="00AD44C3">
              <w:rPr>
                <w:sz w:val="14"/>
                <w:szCs w:val="17"/>
              </w:rPr>
              <w:t>A range of relevant resources and tools for production (e.g. 3D printers, machinery, workshop space, kilns etc)</w:t>
            </w:r>
          </w:p>
        </w:tc>
        <w:tc>
          <w:tcPr>
            <w:tcW w:w="1417" w:type="dxa"/>
            <w:tcBorders>
              <w:top w:val="single" w:sz="8" w:space="0" w:color="FF5000" w:themeColor="accent6"/>
              <w:bottom w:val="single" w:sz="8" w:space="0" w:color="FF5000" w:themeColor="accent6"/>
            </w:tcBorders>
          </w:tcPr>
          <w:p w14:paraId="512B2A76" w14:textId="6FEF9A5C" w:rsidR="00267FA4" w:rsidRPr="00AD44C3" w:rsidRDefault="00267FA4" w:rsidP="00AD44C3">
            <w:pPr>
              <w:pStyle w:val="TableBullet"/>
              <w:ind w:left="187" w:hanging="170"/>
              <w:rPr>
                <w:sz w:val="14"/>
                <w:szCs w:val="17"/>
              </w:rPr>
            </w:pPr>
            <w:r w:rsidRPr="00AD44C3">
              <w:rPr>
                <w:sz w:val="14"/>
                <w:szCs w:val="17"/>
              </w:rPr>
              <w:t xml:space="preserve">Industrial estates </w:t>
            </w:r>
          </w:p>
          <w:p w14:paraId="0008C59E" w14:textId="77777777" w:rsidR="00267FA4" w:rsidRPr="00AD44C3" w:rsidRDefault="00267FA4" w:rsidP="00AD44C3">
            <w:pPr>
              <w:pStyle w:val="TableBullet"/>
              <w:ind w:left="187" w:hanging="170"/>
              <w:rPr>
                <w:sz w:val="14"/>
                <w:szCs w:val="17"/>
              </w:rPr>
            </w:pPr>
            <w:r w:rsidRPr="00AD44C3">
              <w:rPr>
                <w:sz w:val="14"/>
                <w:szCs w:val="17"/>
              </w:rPr>
              <w:t>Town centres and high streets</w:t>
            </w:r>
          </w:p>
          <w:p w14:paraId="6D5631FE" w14:textId="6B91E7AE" w:rsidR="00267FA4" w:rsidRPr="00AD44C3" w:rsidRDefault="00267FA4" w:rsidP="00AD44C3">
            <w:pPr>
              <w:pStyle w:val="TableBullet"/>
              <w:ind w:left="187" w:hanging="170"/>
              <w:rPr>
                <w:sz w:val="14"/>
                <w:szCs w:val="17"/>
              </w:rPr>
            </w:pPr>
            <w:r w:rsidRPr="00AD44C3">
              <w:rPr>
                <w:sz w:val="14"/>
                <w:szCs w:val="17"/>
              </w:rPr>
              <w:t>Spaces – mixed B Class (Makerspaces); B2 (Industrial &amp; Manufacturing); sui-generis (e.g film studios)</w:t>
            </w:r>
          </w:p>
        </w:tc>
        <w:tc>
          <w:tcPr>
            <w:tcW w:w="2041" w:type="dxa"/>
            <w:tcBorders>
              <w:top w:val="single" w:sz="8" w:space="0" w:color="FF5000" w:themeColor="accent6"/>
              <w:bottom w:val="single" w:sz="8" w:space="0" w:color="FF5000" w:themeColor="accent6"/>
            </w:tcBorders>
          </w:tcPr>
          <w:p w14:paraId="66C57117" w14:textId="77777777" w:rsidR="00267FA4" w:rsidRDefault="00267FA4" w:rsidP="00267FA4">
            <w:pPr>
              <w:pStyle w:val="TableTitleInTable"/>
              <w:jc w:val="center"/>
              <w:rPr>
                <w:sz w:val="13"/>
                <w:szCs w:val="13"/>
              </w:rPr>
            </w:pPr>
            <w:r w:rsidRPr="002620AB">
              <w:rPr>
                <w:rFonts w:ascii="Source Sans Pro" w:hAnsi="Source Sans Pro"/>
                <w:color w:val="00B050"/>
                <w:sz w:val="18"/>
                <w:szCs w:val="13"/>
                <w:lang w:val="en-US"/>
              </w:rPr>
              <w:t>✓✓✓✓</w:t>
            </w:r>
          </w:p>
          <w:p w14:paraId="256083C9" w14:textId="3903A329" w:rsidR="00267FA4" w:rsidRDefault="00267FA4" w:rsidP="00267FA4">
            <w:pPr>
              <w:pStyle w:val="TableTitleInTable"/>
              <w:rPr>
                <w:sz w:val="13"/>
                <w:szCs w:val="13"/>
              </w:rPr>
            </w:pPr>
            <w:r w:rsidRPr="00A94D02">
              <w:rPr>
                <w:sz w:val="13"/>
                <w:szCs w:val="13"/>
              </w:rPr>
              <w:t>Sector rapidly developing across London (e.g. TEPC)</w:t>
            </w:r>
            <w:r w:rsidR="004A2649">
              <w:rPr>
                <w:sz w:val="13"/>
                <w:szCs w:val="13"/>
              </w:rPr>
              <w:t xml:space="preserve">. </w:t>
            </w:r>
            <w:r w:rsidRPr="00A94D02">
              <w:rPr>
                <w:sz w:val="13"/>
                <w:szCs w:val="13"/>
              </w:rPr>
              <w:t>Currently relatively small scale, but a priority sector for growth; existing manufacturing strengths</w:t>
            </w:r>
            <w:r w:rsidR="004A2649">
              <w:rPr>
                <w:sz w:val="13"/>
                <w:szCs w:val="13"/>
              </w:rPr>
              <w:t>, space</w:t>
            </w:r>
            <w:r w:rsidRPr="00A94D02">
              <w:rPr>
                <w:sz w:val="13"/>
                <w:szCs w:val="13"/>
              </w:rPr>
              <w:t xml:space="preserve"> and proximity to transport, and HEI means there is good potential for growth</w:t>
            </w:r>
          </w:p>
          <w:p w14:paraId="18855734" w14:textId="18AD3A33" w:rsidR="00267FA4" w:rsidRPr="00267FA4" w:rsidRDefault="00267FA4" w:rsidP="00267FA4">
            <w:pPr>
              <w:pStyle w:val="TableTitleInTable"/>
              <w:rPr>
                <w:sz w:val="13"/>
                <w:szCs w:val="13"/>
              </w:rPr>
            </w:pPr>
          </w:p>
        </w:tc>
      </w:tr>
      <w:tr w:rsidR="00AD44C3" w:rsidRPr="007F7F7A" w14:paraId="382FB060" w14:textId="77777777" w:rsidTr="00AD44C3">
        <w:trPr>
          <w:cnfStyle w:val="000000100000" w:firstRow="0" w:lastRow="0" w:firstColumn="0" w:lastColumn="0" w:oddVBand="0" w:evenVBand="0" w:oddHBand="1" w:evenHBand="0" w:firstRowFirstColumn="0" w:firstRowLastColumn="0" w:lastRowFirstColumn="0" w:lastRowLastColumn="0"/>
          <w:cantSplit/>
          <w:trHeight w:val="1134"/>
        </w:trPr>
        <w:tc>
          <w:tcPr>
            <w:tcW w:w="720" w:type="dxa"/>
            <w:tcBorders>
              <w:top w:val="single" w:sz="8" w:space="0" w:color="FF5000" w:themeColor="accent6"/>
              <w:bottom w:val="single" w:sz="8" w:space="0" w:color="FF5000" w:themeColor="accent6"/>
              <w:right w:val="single" w:sz="18" w:space="0" w:color="244A5A"/>
            </w:tcBorders>
            <w:textDirection w:val="btLr"/>
            <w:vAlign w:val="center"/>
          </w:tcPr>
          <w:p w14:paraId="0B3B2EDE" w14:textId="291CD6BB" w:rsidR="00267FA4" w:rsidRPr="00267FA4" w:rsidRDefault="00267FA4" w:rsidP="00267FA4">
            <w:pPr>
              <w:pStyle w:val="TableTitleInTable"/>
              <w:ind w:right="113"/>
              <w:jc w:val="center"/>
              <w:rPr>
                <w:b/>
                <w:color w:val="FF5000" w:themeColor="accent6"/>
                <w:sz w:val="16"/>
                <w:lang w:val="en-US"/>
              </w:rPr>
            </w:pPr>
            <w:r w:rsidRPr="00267FA4">
              <w:rPr>
                <w:rFonts w:cs="Arial"/>
                <w:b/>
                <w:bCs/>
                <w:color w:val="FF5000" w:themeColor="accent6"/>
                <w:sz w:val="16"/>
              </w:rPr>
              <w:t>Green / Low Carbon</w:t>
            </w:r>
          </w:p>
        </w:tc>
        <w:tc>
          <w:tcPr>
            <w:tcW w:w="2824" w:type="dxa"/>
            <w:tcBorders>
              <w:top w:val="single" w:sz="8" w:space="0" w:color="FF5000" w:themeColor="accent6"/>
              <w:left w:val="single" w:sz="18" w:space="0" w:color="244A5A"/>
              <w:bottom w:val="single" w:sz="8" w:space="0" w:color="FF5000" w:themeColor="accent6"/>
            </w:tcBorders>
          </w:tcPr>
          <w:p w14:paraId="38FC2C3F" w14:textId="77777777" w:rsidR="00267FA4" w:rsidRPr="00AD44C3" w:rsidRDefault="00267FA4" w:rsidP="00AD44C3">
            <w:pPr>
              <w:pStyle w:val="TableBullet"/>
              <w:ind w:left="187" w:hanging="170"/>
              <w:rPr>
                <w:sz w:val="14"/>
                <w:szCs w:val="17"/>
              </w:rPr>
            </w:pPr>
            <w:r w:rsidRPr="00AD44C3">
              <w:rPr>
                <w:sz w:val="14"/>
                <w:szCs w:val="17"/>
              </w:rPr>
              <w:t>Sector is at the heart of Government policy to reduce emissions, drive innovation and add high value added jobs</w:t>
            </w:r>
          </w:p>
          <w:p w14:paraId="3D3A44A1" w14:textId="77777777" w:rsidR="00267FA4" w:rsidRPr="00AD44C3" w:rsidRDefault="00267FA4" w:rsidP="00AD44C3">
            <w:pPr>
              <w:pStyle w:val="TableBullet"/>
              <w:ind w:left="187" w:hanging="170"/>
              <w:rPr>
                <w:sz w:val="14"/>
                <w:szCs w:val="17"/>
              </w:rPr>
            </w:pPr>
            <w:r w:rsidRPr="00AD44C3">
              <w:rPr>
                <w:sz w:val="14"/>
                <w:szCs w:val="17"/>
              </w:rPr>
              <w:t>Climate change and sustainability</w:t>
            </w:r>
          </w:p>
          <w:p w14:paraId="7F67A2DC" w14:textId="77777777" w:rsidR="00267FA4" w:rsidRPr="00AD44C3" w:rsidRDefault="00267FA4" w:rsidP="00AD44C3">
            <w:pPr>
              <w:pStyle w:val="TableBullet"/>
              <w:ind w:left="187" w:hanging="170"/>
              <w:rPr>
                <w:sz w:val="14"/>
                <w:szCs w:val="17"/>
              </w:rPr>
            </w:pPr>
            <w:r w:rsidRPr="00AD44C3">
              <w:rPr>
                <w:sz w:val="14"/>
                <w:szCs w:val="17"/>
              </w:rPr>
              <w:t>Creating energy security</w:t>
            </w:r>
          </w:p>
          <w:p w14:paraId="45DFD1F9" w14:textId="77777777" w:rsidR="00267FA4" w:rsidRPr="00AD44C3" w:rsidRDefault="00267FA4" w:rsidP="00AD44C3">
            <w:pPr>
              <w:pStyle w:val="TableBullet"/>
              <w:ind w:left="187" w:hanging="170"/>
              <w:rPr>
                <w:sz w:val="14"/>
                <w:szCs w:val="17"/>
              </w:rPr>
            </w:pPr>
            <w:r w:rsidRPr="00AD44C3">
              <w:rPr>
                <w:sz w:val="14"/>
                <w:szCs w:val="17"/>
              </w:rPr>
              <w:t>Technology and innovation</w:t>
            </w:r>
          </w:p>
          <w:p w14:paraId="368727A2" w14:textId="77777777" w:rsidR="00267FA4" w:rsidRPr="00AD44C3" w:rsidRDefault="00267FA4" w:rsidP="00AD44C3">
            <w:pPr>
              <w:pStyle w:val="TableBullet"/>
              <w:ind w:left="187" w:hanging="170"/>
              <w:rPr>
                <w:sz w:val="14"/>
                <w:szCs w:val="17"/>
              </w:rPr>
            </w:pPr>
            <w:r w:rsidRPr="00AD44C3">
              <w:rPr>
                <w:sz w:val="14"/>
                <w:szCs w:val="17"/>
              </w:rPr>
              <w:t xml:space="preserve">Competition from overseas. </w:t>
            </w:r>
          </w:p>
          <w:p w14:paraId="1A7C3A1E" w14:textId="7A083416" w:rsidR="00267FA4" w:rsidRPr="00AD44C3" w:rsidRDefault="00267FA4" w:rsidP="00AD44C3">
            <w:pPr>
              <w:pStyle w:val="TableBullet"/>
              <w:ind w:left="187" w:hanging="170"/>
              <w:rPr>
                <w:sz w:val="14"/>
                <w:szCs w:val="17"/>
              </w:rPr>
            </w:pPr>
            <w:r w:rsidRPr="00AD44C3">
              <w:rPr>
                <w:sz w:val="14"/>
                <w:szCs w:val="17"/>
              </w:rPr>
              <w:t>Focus on clean tech, green building and circular economy</w:t>
            </w:r>
          </w:p>
        </w:tc>
        <w:tc>
          <w:tcPr>
            <w:tcW w:w="2410" w:type="dxa"/>
            <w:tcBorders>
              <w:top w:val="single" w:sz="8" w:space="0" w:color="FF5000" w:themeColor="accent6"/>
              <w:bottom w:val="single" w:sz="8" w:space="0" w:color="FF5000" w:themeColor="accent6"/>
            </w:tcBorders>
          </w:tcPr>
          <w:p w14:paraId="713C665F" w14:textId="77777777" w:rsidR="00267FA4" w:rsidRPr="00AD44C3" w:rsidRDefault="00267FA4" w:rsidP="00AD44C3">
            <w:pPr>
              <w:pStyle w:val="TableBullet"/>
              <w:ind w:left="187" w:hanging="170"/>
              <w:rPr>
                <w:sz w:val="14"/>
                <w:szCs w:val="17"/>
              </w:rPr>
            </w:pPr>
            <w:r w:rsidRPr="00AD44C3">
              <w:rPr>
                <w:sz w:val="14"/>
                <w:szCs w:val="17"/>
              </w:rPr>
              <w:t>High propensity to cluster</w:t>
            </w:r>
          </w:p>
          <w:p w14:paraId="35302FD1" w14:textId="77777777" w:rsidR="00267FA4" w:rsidRPr="00AD44C3" w:rsidRDefault="00267FA4" w:rsidP="00AD44C3">
            <w:pPr>
              <w:pStyle w:val="TableBullet"/>
              <w:ind w:left="187" w:hanging="170"/>
              <w:rPr>
                <w:sz w:val="14"/>
                <w:szCs w:val="17"/>
              </w:rPr>
            </w:pPr>
            <w:r w:rsidRPr="00AD44C3">
              <w:rPr>
                <w:sz w:val="14"/>
                <w:szCs w:val="17"/>
              </w:rPr>
              <w:t>Access to leading technologies and an innovative environment is important</w:t>
            </w:r>
          </w:p>
          <w:p w14:paraId="14A72E95" w14:textId="5B7245DC" w:rsidR="00267FA4" w:rsidRPr="00AD44C3" w:rsidRDefault="00267FA4" w:rsidP="00AD44C3">
            <w:pPr>
              <w:pStyle w:val="TableBullet"/>
              <w:ind w:left="187" w:hanging="170"/>
              <w:rPr>
                <w:sz w:val="14"/>
                <w:szCs w:val="17"/>
              </w:rPr>
            </w:pPr>
            <w:r w:rsidRPr="00AD44C3">
              <w:rPr>
                <w:sz w:val="14"/>
                <w:szCs w:val="17"/>
              </w:rPr>
              <w:t xml:space="preserve">Presence of centres of excellence and skilled labour </w:t>
            </w:r>
          </w:p>
          <w:p w14:paraId="6CB2D2CF" w14:textId="77777777" w:rsidR="00267FA4" w:rsidRPr="00AD44C3" w:rsidRDefault="00267FA4" w:rsidP="00AD44C3">
            <w:pPr>
              <w:pStyle w:val="TableBullet"/>
              <w:ind w:left="187" w:hanging="170"/>
              <w:rPr>
                <w:sz w:val="14"/>
                <w:szCs w:val="17"/>
              </w:rPr>
            </w:pPr>
            <w:r w:rsidRPr="00AD44C3">
              <w:rPr>
                <w:sz w:val="14"/>
                <w:szCs w:val="17"/>
              </w:rPr>
              <w:t>Excellent infrastructure and accessibility to labour, customers and markets</w:t>
            </w:r>
          </w:p>
          <w:p w14:paraId="66CF75DB" w14:textId="234E3062" w:rsidR="00267FA4" w:rsidRPr="00AD44C3" w:rsidRDefault="00267FA4" w:rsidP="00AD44C3">
            <w:pPr>
              <w:pStyle w:val="TableBullet"/>
              <w:ind w:left="187" w:hanging="170"/>
              <w:rPr>
                <w:sz w:val="14"/>
                <w:szCs w:val="17"/>
              </w:rPr>
            </w:pPr>
            <w:r w:rsidRPr="00AD44C3">
              <w:rPr>
                <w:sz w:val="14"/>
                <w:szCs w:val="17"/>
              </w:rPr>
              <w:t>Often require government support to grow cluster</w:t>
            </w:r>
          </w:p>
        </w:tc>
        <w:tc>
          <w:tcPr>
            <w:tcW w:w="1417" w:type="dxa"/>
            <w:tcBorders>
              <w:top w:val="single" w:sz="8" w:space="0" w:color="FF5000" w:themeColor="accent6"/>
              <w:bottom w:val="single" w:sz="8" w:space="0" w:color="FF5000" w:themeColor="accent6"/>
            </w:tcBorders>
          </w:tcPr>
          <w:p w14:paraId="4DDAF7DA" w14:textId="77777777" w:rsidR="00267FA4" w:rsidRPr="00AD44C3" w:rsidRDefault="00267FA4" w:rsidP="00AD44C3">
            <w:pPr>
              <w:pStyle w:val="TableBullet"/>
              <w:ind w:left="187" w:hanging="170"/>
              <w:rPr>
                <w:sz w:val="14"/>
                <w:szCs w:val="17"/>
              </w:rPr>
            </w:pPr>
            <w:r w:rsidRPr="00AD44C3">
              <w:rPr>
                <w:sz w:val="14"/>
                <w:szCs w:val="17"/>
              </w:rPr>
              <w:t>Business Park type locations</w:t>
            </w:r>
          </w:p>
          <w:p w14:paraId="64634341" w14:textId="77777777" w:rsidR="00267FA4" w:rsidRPr="00AD44C3" w:rsidRDefault="00267FA4" w:rsidP="00AD44C3">
            <w:pPr>
              <w:pStyle w:val="TableBullet"/>
              <w:ind w:left="187" w:hanging="170"/>
              <w:rPr>
                <w:sz w:val="14"/>
                <w:szCs w:val="17"/>
              </w:rPr>
            </w:pPr>
            <w:r w:rsidRPr="00AD44C3">
              <w:rPr>
                <w:sz w:val="14"/>
                <w:szCs w:val="17"/>
              </w:rPr>
              <w:t>Industrial estates / local sites</w:t>
            </w:r>
          </w:p>
          <w:p w14:paraId="19B8F09A" w14:textId="4F180561" w:rsidR="00267FA4" w:rsidRPr="00AD44C3" w:rsidRDefault="00267FA4" w:rsidP="00AD44C3">
            <w:pPr>
              <w:pStyle w:val="TableBullet"/>
              <w:ind w:left="187" w:hanging="170"/>
              <w:rPr>
                <w:sz w:val="14"/>
                <w:szCs w:val="17"/>
              </w:rPr>
            </w:pPr>
            <w:r w:rsidRPr="00AD44C3">
              <w:rPr>
                <w:sz w:val="14"/>
                <w:szCs w:val="17"/>
              </w:rPr>
              <w:t>B1b - R&amp;D Space &amp; B2 - Industrial &amp; Manufacturing</w:t>
            </w:r>
          </w:p>
        </w:tc>
        <w:tc>
          <w:tcPr>
            <w:tcW w:w="2041" w:type="dxa"/>
            <w:tcBorders>
              <w:top w:val="single" w:sz="8" w:space="0" w:color="FF5000" w:themeColor="accent6"/>
              <w:bottom w:val="single" w:sz="8" w:space="0" w:color="FF5000" w:themeColor="accent6"/>
            </w:tcBorders>
          </w:tcPr>
          <w:p w14:paraId="6FD66087" w14:textId="77777777" w:rsidR="00267FA4" w:rsidRDefault="00267FA4" w:rsidP="00267FA4">
            <w:pPr>
              <w:pStyle w:val="TableTitleInTable"/>
              <w:jc w:val="center"/>
              <w:rPr>
                <w:rFonts w:ascii="Source Sans Pro" w:hAnsi="Source Sans Pro"/>
                <w:color w:val="00B050"/>
                <w:sz w:val="18"/>
                <w:szCs w:val="13"/>
                <w:lang w:val="en-US"/>
              </w:rPr>
            </w:pPr>
            <w:r w:rsidRPr="002620AB">
              <w:rPr>
                <w:rFonts w:ascii="Source Sans Pro" w:hAnsi="Source Sans Pro"/>
                <w:color w:val="00B050"/>
                <w:sz w:val="18"/>
                <w:szCs w:val="13"/>
                <w:lang w:val="en-US"/>
              </w:rPr>
              <w:t>✓✓✓✓</w:t>
            </w:r>
          </w:p>
          <w:p w14:paraId="0E41FF60" w14:textId="77777777" w:rsidR="00267FA4" w:rsidRPr="00A94D02" w:rsidRDefault="00267FA4" w:rsidP="00267FA4">
            <w:pPr>
              <w:pStyle w:val="TableTitleInTable"/>
              <w:rPr>
                <w:sz w:val="13"/>
                <w:szCs w:val="13"/>
                <w:lang w:val="en-US"/>
              </w:rPr>
            </w:pPr>
            <w:r w:rsidRPr="00A94D02">
              <w:rPr>
                <w:sz w:val="13"/>
                <w:szCs w:val="13"/>
              </w:rPr>
              <w:t>Priority sector for growth across London</w:t>
            </w:r>
            <w:r>
              <w:rPr>
                <w:sz w:val="13"/>
                <w:szCs w:val="13"/>
              </w:rPr>
              <w:t xml:space="preserve"> – and for Newham.</w:t>
            </w:r>
          </w:p>
          <w:p w14:paraId="14EEC1BF" w14:textId="77777777" w:rsidR="00267FA4" w:rsidRDefault="00267FA4" w:rsidP="00267FA4">
            <w:pPr>
              <w:pStyle w:val="TableTitleInTable"/>
              <w:rPr>
                <w:sz w:val="13"/>
                <w:szCs w:val="13"/>
              </w:rPr>
            </w:pPr>
            <w:r>
              <w:rPr>
                <w:sz w:val="13"/>
                <w:szCs w:val="13"/>
              </w:rPr>
              <w:t>I</w:t>
            </w:r>
            <w:r w:rsidRPr="00A94D02">
              <w:rPr>
                <w:sz w:val="13"/>
                <w:szCs w:val="13"/>
              </w:rPr>
              <w:t>ntegral as a cross cutting theme (futureproofing buildings, economy and mobility)</w:t>
            </w:r>
            <w:r>
              <w:rPr>
                <w:sz w:val="13"/>
                <w:szCs w:val="13"/>
              </w:rPr>
              <w:t xml:space="preserve"> – along with potential for green enterprise. </w:t>
            </w:r>
          </w:p>
          <w:p w14:paraId="6B732494" w14:textId="77777777" w:rsidR="00267FA4" w:rsidRPr="00267FA4" w:rsidRDefault="00267FA4" w:rsidP="00267FA4">
            <w:pPr>
              <w:pStyle w:val="TableTitleInTable"/>
              <w:jc w:val="center"/>
              <w:rPr>
                <w:sz w:val="13"/>
                <w:szCs w:val="13"/>
              </w:rPr>
            </w:pPr>
          </w:p>
        </w:tc>
      </w:tr>
      <w:tr w:rsidR="00AD44C3" w:rsidRPr="007F7F7A" w14:paraId="270B8F6D" w14:textId="77777777" w:rsidTr="00AD44C3">
        <w:trPr>
          <w:cantSplit/>
          <w:trHeight w:val="1134"/>
        </w:trPr>
        <w:tc>
          <w:tcPr>
            <w:tcW w:w="720" w:type="dxa"/>
            <w:tcBorders>
              <w:top w:val="single" w:sz="8" w:space="0" w:color="FF5000" w:themeColor="accent6"/>
              <w:bottom w:val="single" w:sz="8" w:space="0" w:color="FF5000" w:themeColor="accent6"/>
              <w:right w:val="single" w:sz="18" w:space="0" w:color="244A5A"/>
            </w:tcBorders>
            <w:textDirection w:val="btLr"/>
            <w:vAlign w:val="center"/>
          </w:tcPr>
          <w:p w14:paraId="2D8CE074" w14:textId="52668B0A" w:rsidR="00267FA4" w:rsidRPr="00267FA4" w:rsidRDefault="00267FA4" w:rsidP="00267FA4">
            <w:pPr>
              <w:pStyle w:val="TableTitleInTable"/>
              <w:ind w:right="113"/>
              <w:jc w:val="center"/>
              <w:rPr>
                <w:b/>
                <w:color w:val="FF5000" w:themeColor="accent6"/>
                <w:sz w:val="16"/>
                <w:lang w:val="en-US"/>
              </w:rPr>
            </w:pPr>
            <w:r w:rsidRPr="00267FA4">
              <w:rPr>
                <w:rFonts w:cs="Arial"/>
                <w:b/>
                <w:bCs/>
                <w:color w:val="FF5000" w:themeColor="accent6"/>
                <w:sz w:val="16"/>
              </w:rPr>
              <w:t>Life Sciences</w:t>
            </w:r>
          </w:p>
        </w:tc>
        <w:tc>
          <w:tcPr>
            <w:tcW w:w="2824" w:type="dxa"/>
            <w:tcBorders>
              <w:top w:val="single" w:sz="8" w:space="0" w:color="FF5000" w:themeColor="accent6"/>
              <w:left w:val="single" w:sz="18" w:space="0" w:color="244A5A"/>
              <w:bottom w:val="single" w:sz="8" w:space="0" w:color="FF5000" w:themeColor="accent6"/>
            </w:tcBorders>
          </w:tcPr>
          <w:p w14:paraId="733B5F72" w14:textId="77777777" w:rsidR="00267FA4" w:rsidRPr="00AD44C3" w:rsidRDefault="00267FA4" w:rsidP="00AD44C3">
            <w:pPr>
              <w:pStyle w:val="TableBullet"/>
              <w:ind w:left="187" w:hanging="170"/>
              <w:rPr>
                <w:sz w:val="14"/>
                <w:szCs w:val="17"/>
              </w:rPr>
            </w:pPr>
            <w:r w:rsidRPr="00AD44C3">
              <w:rPr>
                <w:sz w:val="14"/>
                <w:szCs w:val="17"/>
              </w:rPr>
              <w:t>Regulation and governance – increasing public health expenditure</w:t>
            </w:r>
          </w:p>
          <w:p w14:paraId="47C991DF" w14:textId="77777777" w:rsidR="00267FA4" w:rsidRPr="00AD44C3" w:rsidRDefault="00267FA4" w:rsidP="00AD44C3">
            <w:pPr>
              <w:pStyle w:val="TableBullet"/>
              <w:ind w:left="187" w:hanging="170"/>
              <w:rPr>
                <w:sz w:val="14"/>
                <w:szCs w:val="17"/>
              </w:rPr>
            </w:pPr>
            <w:r w:rsidRPr="00AD44C3">
              <w:rPr>
                <w:sz w:val="14"/>
                <w:szCs w:val="17"/>
              </w:rPr>
              <w:t>Ageing population</w:t>
            </w:r>
          </w:p>
          <w:p w14:paraId="1AEE02CA" w14:textId="77777777" w:rsidR="00267FA4" w:rsidRPr="00AD44C3" w:rsidRDefault="00267FA4" w:rsidP="00AD44C3">
            <w:pPr>
              <w:pStyle w:val="TableBullet"/>
              <w:ind w:left="187" w:hanging="170"/>
              <w:rPr>
                <w:sz w:val="14"/>
                <w:szCs w:val="17"/>
              </w:rPr>
            </w:pPr>
            <w:r w:rsidRPr="00AD44C3">
              <w:rPr>
                <w:sz w:val="14"/>
                <w:szCs w:val="17"/>
              </w:rPr>
              <w:t>Increased consumer demand for health-related products</w:t>
            </w:r>
          </w:p>
          <w:p w14:paraId="37EDACA4" w14:textId="77777777" w:rsidR="00267FA4" w:rsidRPr="00AD44C3" w:rsidRDefault="00267FA4" w:rsidP="00AD44C3">
            <w:pPr>
              <w:pStyle w:val="TableBullet"/>
              <w:ind w:left="187" w:hanging="170"/>
              <w:rPr>
                <w:sz w:val="14"/>
                <w:szCs w:val="17"/>
              </w:rPr>
            </w:pPr>
            <w:r w:rsidRPr="00AD44C3">
              <w:rPr>
                <w:sz w:val="14"/>
                <w:szCs w:val="17"/>
              </w:rPr>
              <w:t>Changing models of care / living</w:t>
            </w:r>
          </w:p>
          <w:p w14:paraId="108B9E61" w14:textId="3404DE54" w:rsidR="00267FA4" w:rsidRPr="00AD44C3" w:rsidRDefault="00267FA4" w:rsidP="00AD44C3">
            <w:pPr>
              <w:pStyle w:val="TableBullet"/>
              <w:ind w:left="187" w:hanging="170"/>
              <w:rPr>
                <w:sz w:val="14"/>
                <w:szCs w:val="17"/>
              </w:rPr>
            </w:pPr>
            <w:r w:rsidRPr="00AD44C3">
              <w:rPr>
                <w:sz w:val="14"/>
                <w:szCs w:val="17"/>
              </w:rPr>
              <w:t xml:space="preserve">Telecare / telehealth set to better manage people’s health and support older people’s independence </w:t>
            </w:r>
          </w:p>
        </w:tc>
        <w:tc>
          <w:tcPr>
            <w:tcW w:w="2410" w:type="dxa"/>
            <w:tcBorders>
              <w:top w:val="single" w:sz="8" w:space="0" w:color="FF5000" w:themeColor="accent6"/>
              <w:bottom w:val="single" w:sz="8" w:space="0" w:color="FF5000" w:themeColor="accent6"/>
            </w:tcBorders>
          </w:tcPr>
          <w:p w14:paraId="09A2E9B6" w14:textId="77777777" w:rsidR="00267FA4" w:rsidRPr="00AD44C3" w:rsidRDefault="00267FA4" w:rsidP="00AD44C3">
            <w:pPr>
              <w:pStyle w:val="TableBullet"/>
              <w:ind w:left="187" w:hanging="170"/>
              <w:rPr>
                <w:sz w:val="14"/>
                <w:szCs w:val="17"/>
              </w:rPr>
            </w:pPr>
            <w:r w:rsidRPr="00AD44C3">
              <w:rPr>
                <w:sz w:val="14"/>
                <w:szCs w:val="17"/>
              </w:rPr>
              <w:t>Propensity to cluster</w:t>
            </w:r>
          </w:p>
          <w:p w14:paraId="49EC90E1" w14:textId="77777777" w:rsidR="00267FA4" w:rsidRPr="00AD44C3" w:rsidRDefault="00267FA4" w:rsidP="00AD44C3">
            <w:pPr>
              <w:pStyle w:val="TableBullet"/>
              <w:ind w:left="187" w:hanging="170"/>
              <w:rPr>
                <w:sz w:val="14"/>
                <w:szCs w:val="17"/>
              </w:rPr>
            </w:pPr>
            <w:r w:rsidRPr="00AD44C3">
              <w:rPr>
                <w:sz w:val="14"/>
                <w:szCs w:val="17"/>
              </w:rPr>
              <w:t>Access to leading technologies and an innovative environment</w:t>
            </w:r>
          </w:p>
          <w:p w14:paraId="137EF68F" w14:textId="77777777" w:rsidR="00267FA4" w:rsidRPr="00AD44C3" w:rsidRDefault="00267FA4" w:rsidP="00AD44C3">
            <w:pPr>
              <w:pStyle w:val="TableBullet"/>
              <w:ind w:left="187" w:hanging="170"/>
              <w:rPr>
                <w:sz w:val="14"/>
                <w:szCs w:val="17"/>
              </w:rPr>
            </w:pPr>
            <w:r w:rsidRPr="00AD44C3">
              <w:rPr>
                <w:sz w:val="14"/>
                <w:szCs w:val="17"/>
              </w:rPr>
              <w:t>Presence of universities, hospitals, researchers and skilled labour important</w:t>
            </w:r>
          </w:p>
          <w:p w14:paraId="08C5983B" w14:textId="77777777" w:rsidR="00267FA4" w:rsidRPr="00AD44C3" w:rsidRDefault="00267FA4" w:rsidP="00AD44C3">
            <w:pPr>
              <w:pStyle w:val="TableBullet"/>
              <w:ind w:left="187" w:hanging="170"/>
              <w:rPr>
                <w:sz w:val="14"/>
                <w:szCs w:val="17"/>
              </w:rPr>
            </w:pPr>
            <w:r w:rsidRPr="00AD44C3">
              <w:rPr>
                <w:sz w:val="14"/>
                <w:szCs w:val="17"/>
              </w:rPr>
              <w:t>Excellent infrastructure and access to labour, customers and markets</w:t>
            </w:r>
          </w:p>
          <w:p w14:paraId="1F6DBF77" w14:textId="77777777" w:rsidR="00267FA4" w:rsidRPr="00AD44C3" w:rsidRDefault="00267FA4" w:rsidP="00AD44C3">
            <w:pPr>
              <w:pStyle w:val="TableBullet"/>
              <w:ind w:left="187" w:hanging="170"/>
              <w:rPr>
                <w:sz w:val="14"/>
                <w:szCs w:val="17"/>
              </w:rPr>
            </w:pPr>
            <w:r w:rsidRPr="00AD44C3">
              <w:rPr>
                <w:sz w:val="14"/>
                <w:szCs w:val="17"/>
              </w:rPr>
              <w:t>Quality work environment</w:t>
            </w:r>
          </w:p>
          <w:p w14:paraId="5747B9B7" w14:textId="3CAD17A0" w:rsidR="00267FA4" w:rsidRPr="00AD44C3" w:rsidRDefault="00267FA4" w:rsidP="00AD44C3">
            <w:pPr>
              <w:pStyle w:val="TableBullet"/>
              <w:ind w:left="187" w:hanging="170"/>
              <w:rPr>
                <w:sz w:val="14"/>
                <w:szCs w:val="17"/>
              </w:rPr>
            </w:pPr>
            <w:r w:rsidRPr="00AD44C3">
              <w:rPr>
                <w:sz w:val="14"/>
                <w:szCs w:val="17"/>
              </w:rPr>
              <w:t>May require gov support</w:t>
            </w:r>
          </w:p>
        </w:tc>
        <w:tc>
          <w:tcPr>
            <w:tcW w:w="1417" w:type="dxa"/>
            <w:tcBorders>
              <w:top w:val="single" w:sz="8" w:space="0" w:color="FF5000" w:themeColor="accent6"/>
              <w:bottom w:val="single" w:sz="8" w:space="0" w:color="FF5000" w:themeColor="accent6"/>
            </w:tcBorders>
          </w:tcPr>
          <w:p w14:paraId="52B28EE6" w14:textId="77777777" w:rsidR="00267FA4" w:rsidRPr="00AD44C3" w:rsidRDefault="00267FA4" w:rsidP="00AD44C3">
            <w:pPr>
              <w:pStyle w:val="TableBullet"/>
              <w:ind w:left="187" w:hanging="170"/>
              <w:rPr>
                <w:sz w:val="14"/>
                <w:szCs w:val="17"/>
              </w:rPr>
            </w:pPr>
            <w:r w:rsidRPr="00AD44C3">
              <w:rPr>
                <w:sz w:val="14"/>
                <w:szCs w:val="17"/>
              </w:rPr>
              <w:t>Business Park type locations</w:t>
            </w:r>
          </w:p>
          <w:p w14:paraId="2720F050" w14:textId="77777777" w:rsidR="00267FA4" w:rsidRPr="00AD44C3" w:rsidRDefault="00267FA4" w:rsidP="00AD44C3">
            <w:pPr>
              <w:pStyle w:val="TableBullet"/>
              <w:ind w:left="187" w:hanging="170"/>
              <w:rPr>
                <w:sz w:val="14"/>
                <w:szCs w:val="17"/>
              </w:rPr>
            </w:pPr>
            <w:r w:rsidRPr="00AD44C3">
              <w:rPr>
                <w:sz w:val="14"/>
                <w:szCs w:val="17"/>
              </w:rPr>
              <w:t>Universities / hospitals</w:t>
            </w:r>
          </w:p>
          <w:p w14:paraId="75AC9072" w14:textId="35AFEFF9" w:rsidR="00267FA4" w:rsidRPr="00AD44C3" w:rsidRDefault="00267FA4" w:rsidP="00AD44C3">
            <w:pPr>
              <w:pStyle w:val="TableBullet"/>
              <w:ind w:left="187" w:hanging="170"/>
              <w:rPr>
                <w:sz w:val="14"/>
                <w:szCs w:val="17"/>
              </w:rPr>
            </w:pPr>
            <w:r w:rsidRPr="00AD44C3">
              <w:rPr>
                <w:sz w:val="14"/>
                <w:szCs w:val="17"/>
              </w:rPr>
              <w:t>B1b - R&amp;D Space</w:t>
            </w:r>
          </w:p>
        </w:tc>
        <w:tc>
          <w:tcPr>
            <w:tcW w:w="2041" w:type="dxa"/>
            <w:tcBorders>
              <w:top w:val="single" w:sz="8" w:space="0" w:color="FF5000" w:themeColor="accent6"/>
              <w:bottom w:val="single" w:sz="8" w:space="0" w:color="FF5000" w:themeColor="accent6"/>
            </w:tcBorders>
          </w:tcPr>
          <w:p w14:paraId="061B2DCA" w14:textId="77777777" w:rsidR="00267FA4" w:rsidRDefault="00267FA4" w:rsidP="00267FA4">
            <w:pPr>
              <w:pStyle w:val="TableTitleInTable"/>
              <w:jc w:val="center"/>
              <w:rPr>
                <w:sz w:val="13"/>
                <w:szCs w:val="13"/>
              </w:rPr>
            </w:pPr>
            <w:r w:rsidRPr="002620AB">
              <w:rPr>
                <w:rFonts w:ascii="Source Sans Pro" w:hAnsi="Source Sans Pro"/>
                <w:color w:val="00B050"/>
                <w:sz w:val="18"/>
                <w:szCs w:val="13"/>
                <w:lang w:val="en-US"/>
              </w:rPr>
              <w:t>✓</w:t>
            </w:r>
          </w:p>
          <w:p w14:paraId="5BB8474B" w14:textId="77777777" w:rsidR="00267FA4" w:rsidRPr="00A94D02" w:rsidRDefault="00267FA4" w:rsidP="00267FA4">
            <w:pPr>
              <w:pStyle w:val="TableTitleInTable"/>
              <w:rPr>
                <w:sz w:val="13"/>
                <w:szCs w:val="13"/>
                <w:lang w:val="en-US"/>
              </w:rPr>
            </w:pPr>
            <w:r w:rsidRPr="00A94D02">
              <w:rPr>
                <w:sz w:val="13"/>
                <w:szCs w:val="13"/>
              </w:rPr>
              <w:t xml:space="preserve">Currently limited presence locally but a priority sector across London </w:t>
            </w:r>
          </w:p>
          <w:p w14:paraId="4793E8D4" w14:textId="77777777" w:rsidR="00267FA4" w:rsidRDefault="00267FA4" w:rsidP="00267FA4">
            <w:pPr>
              <w:pStyle w:val="TableTitleInTable"/>
              <w:rPr>
                <w:sz w:val="13"/>
                <w:szCs w:val="13"/>
              </w:rPr>
            </w:pPr>
            <w:r w:rsidRPr="00A94D02">
              <w:rPr>
                <w:sz w:val="13"/>
                <w:szCs w:val="13"/>
              </w:rPr>
              <w:t>Limited opportunity, given lack of specific research institutes, and focus elsewhere</w:t>
            </w:r>
          </w:p>
          <w:p w14:paraId="782E65FD" w14:textId="77777777" w:rsidR="00267FA4" w:rsidRPr="00267FA4" w:rsidRDefault="00267FA4" w:rsidP="00267FA4">
            <w:pPr>
              <w:pStyle w:val="TableTitleInTable"/>
              <w:jc w:val="center"/>
              <w:rPr>
                <w:sz w:val="13"/>
                <w:szCs w:val="13"/>
              </w:rPr>
            </w:pPr>
          </w:p>
        </w:tc>
      </w:tr>
      <w:tr w:rsidR="00AD44C3" w:rsidRPr="007F7F7A" w14:paraId="0305F72D" w14:textId="77777777" w:rsidTr="00AD44C3">
        <w:trPr>
          <w:cnfStyle w:val="000000100000" w:firstRow="0" w:lastRow="0" w:firstColumn="0" w:lastColumn="0" w:oddVBand="0" w:evenVBand="0" w:oddHBand="1" w:evenHBand="0" w:firstRowFirstColumn="0" w:firstRowLastColumn="0" w:lastRowFirstColumn="0" w:lastRowLastColumn="0"/>
          <w:cantSplit/>
          <w:trHeight w:val="1134"/>
        </w:trPr>
        <w:tc>
          <w:tcPr>
            <w:tcW w:w="720" w:type="dxa"/>
            <w:tcBorders>
              <w:top w:val="single" w:sz="8" w:space="0" w:color="FF5000" w:themeColor="accent6"/>
              <w:bottom w:val="single" w:sz="8" w:space="0" w:color="FF5000" w:themeColor="accent6"/>
              <w:right w:val="single" w:sz="18" w:space="0" w:color="244A5A"/>
            </w:tcBorders>
            <w:textDirection w:val="btLr"/>
            <w:vAlign w:val="center"/>
          </w:tcPr>
          <w:p w14:paraId="018A0D76" w14:textId="42F0E6EF" w:rsidR="00267FA4" w:rsidRPr="00267FA4" w:rsidRDefault="00267FA4" w:rsidP="00267FA4">
            <w:pPr>
              <w:pStyle w:val="TableTitleInTable"/>
              <w:ind w:right="113"/>
              <w:jc w:val="center"/>
              <w:rPr>
                <w:b/>
                <w:color w:val="FF5000" w:themeColor="accent6"/>
                <w:sz w:val="16"/>
                <w:lang w:val="en-US"/>
              </w:rPr>
            </w:pPr>
            <w:r w:rsidRPr="00267FA4">
              <w:rPr>
                <w:rFonts w:cs="Arial"/>
                <w:b/>
                <w:bCs/>
                <w:color w:val="FF5000" w:themeColor="accent6"/>
                <w:sz w:val="16"/>
              </w:rPr>
              <w:t>ICT, Digital &amp; Creative Services</w:t>
            </w:r>
          </w:p>
        </w:tc>
        <w:tc>
          <w:tcPr>
            <w:tcW w:w="2824" w:type="dxa"/>
            <w:tcBorders>
              <w:top w:val="single" w:sz="8" w:space="0" w:color="FF5000" w:themeColor="accent6"/>
              <w:left w:val="single" w:sz="18" w:space="0" w:color="244A5A"/>
              <w:bottom w:val="single" w:sz="8" w:space="0" w:color="FF5000" w:themeColor="accent6"/>
            </w:tcBorders>
          </w:tcPr>
          <w:p w14:paraId="28331893" w14:textId="608922A6" w:rsidR="00267FA4" w:rsidRPr="00AD44C3" w:rsidRDefault="00267FA4" w:rsidP="00AD44C3">
            <w:pPr>
              <w:pStyle w:val="TableBullet"/>
              <w:ind w:left="187" w:hanging="170"/>
              <w:rPr>
                <w:sz w:val="14"/>
                <w:szCs w:val="17"/>
              </w:rPr>
            </w:pPr>
            <w:r w:rsidRPr="00AD44C3">
              <w:rPr>
                <w:sz w:val="14"/>
                <w:szCs w:val="17"/>
              </w:rPr>
              <w:t>5G; e-commerce; rising embeddedness of tech technology (e.g. games, mobiles, shopping, IOT)</w:t>
            </w:r>
          </w:p>
        </w:tc>
        <w:tc>
          <w:tcPr>
            <w:tcW w:w="2410" w:type="dxa"/>
            <w:tcBorders>
              <w:top w:val="single" w:sz="8" w:space="0" w:color="FF5000" w:themeColor="accent6"/>
              <w:bottom w:val="single" w:sz="8" w:space="0" w:color="FF5000" w:themeColor="accent6"/>
            </w:tcBorders>
          </w:tcPr>
          <w:p w14:paraId="71DDC01B" w14:textId="77777777" w:rsidR="00267FA4" w:rsidRPr="00AD44C3" w:rsidRDefault="00267FA4" w:rsidP="00AD44C3">
            <w:pPr>
              <w:pStyle w:val="TableBullet"/>
              <w:ind w:left="187" w:hanging="170"/>
              <w:rPr>
                <w:sz w:val="14"/>
                <w:szCs w:val="17"/>
              </w:rPr>
            </w:pPr>
            <w:r w:rsidRPr="00AD44C3">
              <w:rPr>
                <w:sz w:val="14"/>
                <w:szCs w:val="17"/>
              </w:rPr>
              <w:t>High propensity to cluster</w:t>
            </w:r>
          </w:p>
          <w:p w14:paraId="631FB8C1" w14:textId="77777777" w:rsidR="00267FA4" w:rsidRPr="00AD44C3" w:rsidRDefault="00267FA4" w:rsidP="00AD44C3">
            <w:pPr>
              <w:pStyle w:val="TableBullet"/>
              <w:ind w:left="187" w:hanging="170"/>
              <w:rPr>
                <w:sz w:val="14"/>
                <w:szCs w:val="17"/>
              </w:rPr>
            </w:pPr>
            <w:r w:rsidRPr="00AD44C3">
              <w:rPr>
                <w:sz w:val="14"/>
                <w:szCs w:val="17"/>
              </w:rPr>
              <w:t xml:space="preserve">High quality facilities in a prestige location for HQ </w:t>
            </w:r>
          </w:p>
          <w:p w14:paraId="52FFA226" w14:textId="77777777" w:rsidR="00267FA4" w:rsidRPr="00AD44C3" w:rsidRDefault="00267FA4" w:rsidP="00AD44C3">
            <w:pPr>
              <w:pStyle w:val="TableBullet"/>
              <w:ind w:left="187" w:hanging="170"/>
              <w:rPr>
                <w:sz w:val="14"/>
                <w:szCs w:val="17"/>
              </w:rPr>
            </w:pPr>
            <w:r w:rsidRPr="00AD44C3">
              <w:rPr>
                <w:sz w:val="14"/>
                <w:szCs w:val="17"/>
              </w:rPr>
              <w:t>Excellent infrastructure</w:t>
            </w:r>
          </w:p>
          <w:p w14:paraId="33FC6412" w14:textId="77777777" w:rsidR="00267FA4" w:rsidRPr="00AD44C3" w:rsidRDefault="00267FA4" w:rsidP="00AD44C3">
            <w:pPr>
              <w:pStyle w:val="TableBullet"/>
              <w:ind w:left="187" w:hanging="170"/>
              <w:rPr>
                <w:sz w:val="14"/>
                <w:szCs w:val="17"/>
              </w:rPr>
            </w:pPr>
            <w:r w:rsidRPr="00AD44C3">
              <w:rPr>
                <w:sz w:val="14"/>
                <w:szCs w:val="17"/>
              </w:rPr>
              <w:t>Accessibility to labour, customers and markets</w:t>
            </w:r>
          </w:p>
          <w:p w14:paraId="7497DF54" w14:textId="77777777" w:rsidR="00267FA4" w:rsidRPr="00AD44C3" w:rsidRDefault="00267FA4" w:rsidP="00AD44C3">
            <w:pPr>
              <w:pStyle w:val="TableBullet"/>
              <w:ind w:left="187" w:hanging="170"/>
              <w:rPr>
                <w:sz w:val="14"/>
                <w:szCs w:val="17"/>
              </w:rPr>
            </w:pPr>
            <w:r w:rsidRPr="00AD44C3">
              <w:rPr>
                <w:sz w:val="14"/>
                <w:szCs w:val="17"/>
              </w:rPr>
              <w:t xml:space="preserve">Access to research institutions Low operating costs </w:t>
            </w:r>
          </w:p>
          <w:p w14:paraId="015F7CBA" w14:textId="77777777" w:rsidR="00267FA4" w:rsidRPr="00AD44C3" w:rsidRDefault="00267FA4" w:rsidP="00AD44C3">
            <w:pPr>
              <w:pStyle w:val="TableBullet"/>
              <w:ind w:left="187" w:hanging="170"/>
              <w:rPr>
                <w:sz w:val="14"/>
                <w:szCs w:val="17"/>
              </w:rPr>
            </w:pPr>
            <w:r w:rsidRPr="00AD44C3">
              <w:rPr>
                <w:sz w:val="14"/>
                <w:szCs w:val="17"/>
              </w:rPr>
              <w:t>Government support</w:t>
            </w:r>
          </w:p>
          <w:p w14:paraId="4B42756D" w14:textId="47408B91" w:rsidR="00267FA4" w:rsidRPr="00AD44C3" w:rsidRDefault="00267FA4" w:rsidP="00AD44C3">
            <w:pPr>
              <w:pStyle w:val="TableBullet"/>
              <w:ind w:left="187" w:hanging="170"/>
              <w:rPr>
                <w:sz w:val="14"/>
                <w:szCs w:val="17"/>
              </w:rPr>
            </w:pPr>
            <w:r w:rsidRPr="00AD44C3">
              <w:rPr>
                <w:sz w:val="14"/>
                <w:szCs w:val="17"/>
              </w:rPr>
              <w:t>Home working reducing need for space / more flexibility</w:t>
            </w:r>
          </w:p>
        </w:tc>
        <w:tc>
          <w:tcPr>
            <w:tcW w:w="1417" w:type="dxa"/>
            <w:tcBorders>
              <w:top w:val="single" w:sz="8" w:space="0" w:color="FF5000" w:themeColor="accent6"/>
              <w:bottom w:val="single" w:sz="8" w:space="0" w:color="FF5000" w:themeColor="accent6"/>
            </w:tcBorders>
          </w:tcPr>
          <w:p w14:paraId="10B5BDC6" w14:textId="77777777" w:rsidR="00267FA4" w:rsidRPr="00AD44C3" w:rsidRDefault="00267FA4" w:rsidP="00AD44C3">
            <w:pPr>
              <w:pStyle w:val="TableBullet"/>
              <w:ind w:left="187" w:hanging="170"/>
              <w:rPr>
                <w:sz w:val="14"/>
                <w:szCs w:val="17"/>
              </w:rPr>
            </w:pPr>
            <w:r w:rsidRPr="00AD44C3">
              <w:rPr>
                <w:sz w:val="14"/>
                <w:szCs w:val="17"/>
              </w:rPr>
              <w:t>Business Park type locations</w:t>
            </w:r>
          </w:p>
          <w:p w14:paraId="273E0B41" w14:textId="77777777" w:rsidR="00267FA4" w:rsidRPr="00AD44C3" w:rsidRDefault="00267FA4" w:rsidP="00AD44C3">
            <w:pPr>
              <w:pStyle w:val="TableBullet"/>
              <w:ind w:left="187" w:hanging="170"/>
              <w:rPr>
                <w:sz w:val="14"/>
                <w:szCs w:val="17"/>
              </w:rPr>
            </w:pPr>
            <w:r w:rsidRPr="00AD44C3">
              <w:rPr>
                <w:sz w:val="14"/>
                <w:szCs w:val="17"/>
              </w:rPr>
              <w:t xml:space="preserve">Town centre locations </w:t>
            </w:r>
          </w:p>
          <w:p w14:paraId="12428A8B" w14:textId="77777777" w:rsidR="00267FA4" w:rsidRPr="00AD44C3" w:rsidRDefault="00267FA4" w:rsidP="00AD44C3">
            <w:pPr>
              <w:pStyle w:val="TableBullet"/>
              <w:ind w:left="187" w:hanging="170"/>
              <w:rPr>
                <w:sz w:val="14"/>
                <w:szCs w:val="17"/>
              </w:rPr>
            </w:pPr>
            <w:r w:rsidRPr="00AD44C3">
              <w:rPr>
                <w:sz w:val="14"/>
                <w:szCs w:val="17"/>
              </w:rPr>
              <w:t>Spaces – B1a  and B8 (data centres)</w:t>
            </w:r>
          </w:p>
          <w:p w14:paraId="4F9FBA84" w14:textId="05E0D488" w:rsidR="00267FA4" w:rsidRPr="00AD44C3" w:rsidRDefault="00651302" w:rsidP="00AD44C3">
            <w:pPr>
              <w:pStyle w:val="TableBullet"/>
              <w:ind w:left="187" w:hanging="170"/>
              <w:rPr>
                <w:sz w:val="14"/>
                <w:szCs w:val="17"/>
              </w:rPr>
            </w:pPr>
            <w:r>
              <w:rPr>
                <w:sz w:val="14"/>
                <w:szCs w:val="17"/>
              </w:rPr>
              <w:t>S</w:t>
            </w:r>
            <w:r w:rsidR="00267FA4" w:rsidRPr="00AD44C3">
              <w:rPr>
                <w:sz w:val="14"/>
                <w:szCs w:val="17"/>
              </w:rPr>
              <w:t>mall flexible workspace; meanwhile spaces</w:t>
            </w:r>
          </w:p>
        </w:tc>
        <w:tc>
          <w:tcPr>
            <w:tcW w:w="2041" w:type="dxa"/>
            <w:tcBorders>
              <w:top w:val="single" w:sz="8" w:space="0" w:color="FF5000" w:themeColor="accent6"/>
              <w:bottom w:val="single" w:sz="8" w:space="0" w:color="FF5000" w:themeColor="accent6"/>
            </w:tcBorders>
          </w:tcPr>
          <w:p w14:paraId="3BE10E0F" w14:textId="77777777" w:rsidR="00267FA4" w:rsidRDefault="00267FA4" w:rsidP="00267FA4">
            <w:pPr>
              <w:pStyle w:val="TableTitleInTable"/>
              <w:jc w:val="center"/>
              <w:rPr>
                <w:sz w:val="13"/>
                <w:szCs w:val="13"/>
              </w:rPr>
            </w:pPr>
            <w:r w:rsidRPr="002620AB">
              <w:rPr>
                <w:rFonts w:ascii="Source Sans Pro" w:hAnsi="Source Sans Pro"/>
                <w:color w:val="00B050"/>
                <w:sz w:val="18"/>
                <w:szCs w:val="13"/>
                <w:lang w:val="en-US"/>
              </w:rPr>
              <w:t>✓✓✓✓✓</w:t>
            </w:r>
          </w:p>
          <w:p w14:paraId="43E52459" w14:textId="77777777" w:rsidR="00267FA4" w:rsidRPr="00A94D02" w:rsidRDefault="00267FA4" w:rsidP="00267FA4">
            <w:pPr>
              <w:pStyle w:val="TableTitleInTable"/>
              <w:rPr>
                <w:sz w:val="13"/>
                <w:szCs w:val="13"/>
                <w:lang w:val="en-US"/>
              </w:rPr>
            </w:pPr>
            <w:r w:rsidRPr="00A94D02">
              <w:rPr>
                <w:sz w:val="13"/>
                <w:szCs w:val="13"/>
              </w:rPr>
              <w:t>Rapidly developing sector across London and a key focus for national government</w:t>
            </w:r>
          </w:p>
          <w:p w14:paraId="48B04E70" w14:textId="77777777" w:rsidR="00267FA4" w:rsidRDefault="00267FA4" w:rsidP="00267FA4">
            <w:pPr>
              <w:pStyle w:val="TableTitleInTable"/>
              <w:rPr>
                <w:sz w:val="13"/>
                <w:szCs w:val="13"/>
              </w:rPr>
            </w:pPr>
            <w:r w:rsidRPr="00A94D02">
              <w:rPr>
                <w:sz w:val="13"/>
                <w:szCs w:val="13"/>
              </w:rPr>
              <w:t>Potential for strong growth in the sector in Docks area reflecting delivery of office space and proposed transport improvements</w:t>
            </w:r>
          </w:p>
          <w:p w14:paraId="3DC328EE" w14:textId="77777777" w:rsidR="00267FA4" w:rsidRPr="00267FA4" w:rsidRDefault="00267FA4" w:rsidP="00267FA4">
            <w:pPr>
              <w:pStyle w:val="TableTitleInTable"/>
              <w:jc w:val="center"/>
              <w:rPr>
                <w:sz w:val="13"/>
                <w:szCs w:val="13"/>
              </w:rPr>
            </w:pPr>
          </w:p>
        </w:tc>
      </w:tr>
      <w:tr w:rsidR="00AD44C3" w:rsidRPr="007F7F7A" w14:paraId="01124E76" w14:textId="77777777" w:rsidTr="00AD44C3">
        <w:trPr>
          <w:cantSplit/>
          <w:trHeight w:val="1134"/>
        </w:trPr>
        <w:tc>
          <w:tcPr>
            <w:tcW w:w="720" w:type="dxa"/>
            <w:tcBorders>
              <w:top w:val="single" w:sz="8" w:space="0" w:color="FF5000" w:themeColor="accent6"/>
              <w:bottom w:val="single" w:sz="8" w:space="0" w:color="FF5000" w:themeColor="accent6"/>
              <w:right w:val="single" w:sz="18" w:space="0" w:color="244A5A"/>
            </w:tcBorders>
            <w:textDirection w:val="btLr"/>
            <w:vAlign w:val="center"/>
          </w:tcPr>
          <w:p w14:paraId="16E81C1E" w14:textId="2ED832AC" w:rsidR="00267FA4" w:rsidRPr="00267FA4" w:rsidRDefault="00267FA4" w:rsidP="00267FA4">
            <w:pPr>
              <w:pStyle w:val="TableTitleInTable"/>
              <w:ind w:right="113"/>
              <w:jc w:val="center"/>
              <w:rPr>
                <w:b/>
                <w:color w:val="FF5000" w:themeColor="accent6"/>
                <w:sz w:val="16"/>
                <w:lang w:val="en-US"/>
              </w:rPr>
            </w:pPr>
            <w:r w:rsidRPr="00267FA4">
              <w:rPr>
                <w:rFonts w:cs="Arial"/>
                <w:b/>
                <w:bCs/>
                <w:color w:val="FF5000" w:themeColor="accent6"/>
                <w:sz w:val="16"/>
              </w:rPr>
              <w:t>Financial and Business Services</w:t>
            </w:r>
          </w:p>
        </w:tc>
        <w:tc>
          <w:tcPr>
            <w:tcW w:w="2824" w:type="dxa"/>
            <w:tcBorders>
              <w:top w:val="single" w:sz="8" w:space="0" w:color="FF5000" w:themeColor="accent6"/>
              <w:left w:val="single" w:sz="18" w:space="0" w:color="244A5A"/>
              <w:bottom w:val="single" w:sz="8" w:space="0" w:color="FF5000" w:themeColor="accent6"/>
            </w:tcBorders>
          </w:tcPr>
          <w:p w14:paraId="2C2AFFA6" w14:textId="77777777" w:rsidR="00267FA4" w:rsidRPr="00AD44C3" w:rsidRDefault="00267FA4" w:rsidP="00AD44C3">
            <w:pPr>
              <w:pStyle w:val="TableBullet"/>
              <w:ind w:left="187" w:hanging="170"/>
              <w:rPr>
                <w:sz w:val="14"/>
                <w:szCs w:val="17"/>
              </w:rPr>
            </w:pPr>
            <w:r w:rsidRPr="00AD44C3">
              <w:rPr>
                <w:sz w:val="14"/>
                <w:szCs w:val="17"/>
              </w:rPr>
              <w:t>One of the most resilient sectors through the recent recession</w:t>
            </w:r>
          </w:p>
          <w:p w14:paraId="089E43F9" w14:textId="77777777" w:rsidR="00267FA4" w:rsidRPr="00AD44C3" w:rsidRDefault="00267FA4" w:rsidP="00AD44C3">
            <w:pPr>
              <w:pStyle w:val="TableBullet"/>
              <w:ind w:left="187" w:hanging="170"/>
              <w:rPr>
                <w:sz w:val="14"/>
                <w:szCs w:val="17"/>
              </w:rPr>
            </w:pPr>
            <w:r w:rsidRPr="00AD44C3">
              <w:rPr>
                <w:sz w:val="14"/>
                <w:szCs w:val="17"/>
              </w:rPr>
              <w:t>Technology creating new dimensions to the sector</w:t>
            </w:r>
          </w:p>
          <w:p w14:paraId="3AA25191" w14:textId="77777777" w:rsidR="00267FA4" w:rsidRPr="00AD44C3" w:rsidRDefault="00267FA4" w:rsidP="00AD44C3">
            <w:pPr>
              <w:pStyle w:val="TableBullet"/>
              <w:ind w:left="187" w:hanging="170"/>
              <w:rPr>
                <w:sz w:val="14"/>
                <w:szCs w:val="17"/>
              </w:rPr>
            </w:pPr>
            <w:r w:rsidRPr="00AD44C3">
              <w:rPr>
                <w:sz w:val="14"/>
                <w:szCs w:val="17"/>
              </w:rPr>
              <w:t>Challenges from overseas markets (especially with Brexit)</w:t>
            </w:r>
          </w:p>
          <w:p w14:paraId="618B692A" w14:textId="002004AA" w:rsidR="00267FA4" w:rsidRPr="00AD44C3" w:rsidRDefault="00267FA4" w:rsidP="00AD44C3">
            <w:pPr>
              <w:pStyle w:val="TableBullet"/>
              <w:ind w:left="187" w:hanging="170"/>
              <w:rPr>
                <w:sz w:val="14"/>
                <w:szCs w:val="17"/>
              </w:rPr>
            </w:pPr>
            <w:r w:rsidRPr="00AD44C3">
              <w:rPr>
                <w:sz w:val="14"/>
                <w:szCs w:val="17"/>
              </w:rPr>
              <w:t>Increased financial regulation placing pressure on sector.</w:t>
            </w:r>
          </w:p>
        </w:tc>
        <w:tc>
          <w:tcPr>
            <w:tcW w:w="2410" w:type="dxa"/>
            <w:tcBorders>
              <w:top w:val="single" w:sz="8" w:space="0" w:color="FF5000" w:themeColor="accent6"/>
              <w:bottom w:val="single" w:sz="8" w:space="0" w:color="FF5000" w:themeColor="accent6"/>
            </w:tcBorders>
          </w:tcPr>
          <w:p w14:paraId="5264EF43" w14:textId="77777777" w:rsidR="00267FA4" w:rsidRPr="00AD44C3" w:rsidRDefault="00267FA4" w:rsidP="00AD44C3">
            <w:pPr>
              <w:pStyle w:val="TableBullet"/>
              <w:ind w:left="187" w:hanging="170"/>
              <w:rPr>
                <w:sz w:val="14"/>
                <w:szCs w:val="17"/>
              </w:rPr>
            </w:pPr>
            <w:r w:rsidRPr="00AD44C3">
              <w:rPr>
                <w:sz w:val="14"/>
                <w:szCs w:val="17"/>
              </w:rPr>
              <w:t>High quality facilities in a prestige location for HQ functions</w:t>
            </w:r>
          </w:p>
          <w:p w14:paraId="053BD05C" w14:textId="7974CDC0" w:rsidR="00267FA4" w:rsidRPr="00AD44C3" w:rsidRDefault="00651302" w:rsidP="00AD44C3">
            <w:pPr>
              <w:pStyle w:val="TableBullet"/>
              <w:ind w:left="187" w:hanging="170"/>
              <w:rPr>
                <w:sz w:val="14"/>
                <w:szCs w:val="17"/>
              </w:rPr>
            </w:pPr>
            <w:r>
              <w:rPr>
                <w:sz w:val="14"/>
                <w:szCs w:val="17"/>
              </w:rPr>
              <w:t>G</w:t>
            </w:r>
            <w:r w:rsidR="00267FA4" w:rsidRPr="00AD44C3">
              <w:rPr>
                <w:sz w:val="14"/>
                <w:szCs w:val="17"/>
              </w:rPr>
              <w:t>ood quality facilities for staff</w:t>
            </w:r>
          </w:p>
          <w:p w14:paraId="62B505ED" w14:textId="77777777" w:rsidR="00267FA4" w:rsidRPr="00AD44C3" w:rsidRDefault="00267FA4" w:rsidP="00AD44C3">
            <w:pPr>
              <w:pStyle w:val="TableBullet"/>
              <w:ind w:left="187" w:hanging="170"/>
              <w:rPr>
                <w:sz w:val="14"/>
                <w:szCs w:val="17"/>
              </w:rPr>
            </w:pPr>
            <w:r w:rsidRPr="00AD44C3">
              <w:rPr>
                <w:sz w:val="14"/>
                <w:szCs w:val="17"/>
              </w:rPr>
              <w:t>Appropriate skills availability</w:t>
            </w:r>
          </w:p>
          <w:p w14:paraId="55B15141" w14:textId="77777777" w:rsidR="00267FA4" w:rsidRPr="00AD44C3" w:rsidRDefault="00267FA4" w:rsidP="00AD44C3">
            <w:pPr>
              <w:pStyle w:val="TableBullet"/>
              <w:ind w:left="187" w:hanging="170"/>
              <w:rPr>
                <w:sz w:val="14"/>
                <w:szCs w:val="17"/>
              </w:rPr>
            </w:pPr>
            <w:r w:rsidRPr="00AD44C3">
              <w:rPr>
                <w:sz w:val="14"/>
                <w:szCs w:val="17"/>
              </w:rPr>
              <w:t>Good transport links for staff (including public transport)</w:t>
            </w:r>
          </w:p>
          <w:p w14:paraId="0E8703A2" w14:textId="77777777" w:rsidR="00267FA4" w:rsidRPr="00AD44C3" w:rsidRDefault="00267FA4" w:rsidP="00AD44C3">
            <w:pPr>
              <w:pStyle w:val="TableBullet"/>
              <w:ind w:left="187" w:hanging="170"/>
              <w:rPr>
                <w:sz w:val="14"/>
                <w:szCs w:val="17"/>
              </w:rPr>
            </w:pPr>
            <w:r w:rsidRPr="00AD44C3">
              <w:rPr>
                <w:sz w:val="14"/>
                <w:szCs w:val="17"/>
              </w:rPr>
              <w:t>Low operating costs becoming increasingly more important</w:t>
            </w:r>
          </w:p>
          <w:p w14:paraId="3C4E5EED" w14:textId="6CA3093C" w:rsidR="00267FA4" w:rsidRPr="00AD44C3" w:rsidRDefault="00267FA4" w:rsidP="00AD44C3">
            <w:pPr>
              <w:pStyle w:val="TableBullet"/>
              <w:ind w:left="187" w:hanging="170"/>
              <w:rPr>
                <w:sz w:val="14"/>
                <w:szCs w:val="17"/>
              </w:rPr>
            </w:pPr>
            <w:r w:rsidRPr="00AD44C3">
              <w:rPr>
                <w:sz w:val="14"/>
                <w:szCs w:val="17"/>
              </w:rPr>
              <w:t>Rapid market access</w:t>
            </w:r>
          </w:p>
        </w:tc>
        <w:tc>
          <w:tcPr>
            <w:tcW w:w="1417" w:type="dxa"/>
            <w:tcBorders>
              <w:top w:val="single" w:sz="8" w:space="0" w:color="FF5000" w:themeColor="accent6"/>
              <w:bottom w:val="single" w:sz="8" w:space="0" w:color="FF5000" w:themeColor="accent6"/>
            </w:tcBorders>
          </w:tcPr>
          <w:p w14:paraId="092C551B" w14:textId="77777777" w:rsidR="00267FA4" w:rsidRPr="00AD44C3" w:rsidRDefault="00267FA4" w:rsidP="00AD44C3">
            <w:pPr>
              <w:pStyle w:val="TableBullet"/>
              <w:ind w:left="187" w:hanging="170"/>
              <w:rPr>
                <w:sz w:val="14"/>
                <w:szCs w:val="17"/>
              </w:rPr>
            </w:pPr>
            <w:r w:rsidRPr="00AD44C3">
              <w:rPr>
                <w:sz w:val="14"/>
                <w:szCs w:val="17"/>
              </w:rPr>
              <w:t>Business Park type locations</w:t>
            </w:r>
          </w:p>
          <w:p w14:paraId="04C9B56B" w14:textId="77777777" w:rsidR="00267FA4" w:rsidRPr="00AD44C3" w:rsidRDefault="00267FA4" w:rsidP="00AD44C3">
            <w:pPr>
              <w:pStyle w:val="TableBullet"/>
              <w:ind w:left="187" w:hanging="170"/>
              <w:rPr>
                <w:sz w:val="14"/>
                <w:szCs w:val="17"/>
              </w:rPr>
            </w:pPr>
            <w:r w:rsidRPr="00AD44C3">
              <w:rPr>
                <w:sz w:val="14"/>
                <w:szCs w:val="17"/>
              </w:rPr>
              <w:t xml:space="preserve">Town centre locations </w:t>
            </w:r>
          </w:p>
          <w:p w14:paraId="49417DB9" w14:textId="77777777" w:rsidR="00267FA4" w:rsidRPr="00AD44C3" w:rsidRDefault="00267FA4" w:rsidP="00AD44C3">
            <w:pPr>
              <w:pStyle w:val="TableBullet"/>
              <w:ind w:left="187" w:hanging="170"/>
              <w:rPr>
                <w:sz w:val="14"/>
                <w:szCs w:val="17"/>
              </w:rPr>
            </w:pPr>
            <w:r w:rsidRPr="00AD44C3">
              <w:rPr>
                <w:sz w:val="14"/>
                <w:szCs w:val="17"/>
              </w:rPr>
              <w:t>Spaces – B1a</w:t>
            </w:r>
          </w:p>
          <w:p w14:paraId="259C8ECE" w14:textId="7080F05B" w:rsidR="00267FA4" w:rsidRPr="00AD44C3" w:rsidRDefault="00267FA4" w:rsidP="00AD44C3">
            <w:pPr>
              <w:pStyle w:val="TableBullet"/>
              <w:ind w:left="187" w:hanging="170"/>
              <w:rPr>
                <w:sz w:val="14"/>
                <w:szCs w:val="17"/>
              </w:rPr>
            </w:pPr>
            <w:r w:rsidRPr="00AD44C3">
              <w:rPr>
                <w:sz w:val="14"/>
                <w:szCs w:val="17"/>
              </w:rPr>
              <w:t>Traditionally larger footplate, but increasing flexibility</w:t>
            </w:r>
          </w:p>
        </w:tc>
        <w:tc>
          <w:tcPr>
            <w:tcW w:w="2041" w:type="dxa"/>
            <w:tcBorders>
              <w:top w:val="single" w:sz="8" w:space="0" w:color="FF5000" w:themeColor="accent6"/>
              <w:bottom w:val="single" w:sz="8" w:space="0" w:color="FF5000" w:themeColor="accent6"/>
            </w:tcBorders>
          </w:tcPr>
          <w:p w14:paraId="7E9974BA" w14:textId="77777777" w:rsidR="00267FA4" w:rsidRDefault="00267FA4" w:rsidP="00267FA4">
            <w:pPr>
              <w:pStyle w:val="TableTitleInTable"/>
              <w:jc w:val="center"/>
              <w:rPr>
                <w:sz w:val="13"/>
                <w:szCs w:val="13"/>
              </w:rPr>
            </w:pPr>
            <w:r w:rsidRPr="002620AB">
              <w:rPr>
                <w:rFonts w:ascii="Source Sans Pro" w:hAnsi="Source Sans Pro"/>
                <w:color w:val="00B050"/>
                <w:sz w:val="18"/>
                <w:szCs w:val="13"/>
                <w:lang w:val="en-US"/>
              </w:rPr>
              <w:t>✓✓✓✓</w:t>
            </w:r>
          </w:p>
          <w:p w14:paraId="601FFB57" w14:textId="77777777" w:rsidR="00267FA4" w:rsidRPr="00A94D02" w:rsidRDefault="00267FA4" w:rsidP="00267FA4">
            <w:pPr>
              <w:pStyle w:val="TableTitleInTable"/>
              <w:rPr>
                <w:sz w:val="13"/>
                <w:szCs w:val="13"/>
                <w:lang w:val="en-US"/>
              </w:rPr>
            </w:pPr>
            <w:r w:rsidRPr="00A94D02">
              <w:rPr>
                <w:sz w:val="13"/>
                <w:szCs w:val="13"/>
              </w:rPr>
              <w:t>A key focus for London and national government</w:t>
            </w:r>
          </w:p>
          <w:p w14:paraId="021F2D1C" w14:textId="16E56B8E" w:rsidR="00267FA4" w:rsidRPr="00267FA4" w:rsidRDefault="00267FA4" w:rsidP="00651302">
            <w:pPr>
              <w:pStyle w:val="TableTitleInTable"/>
              <w:rPr>
                <w:sz w:val="13"/>
                <w:szCs w:val="13"/>
              </w:rPr>
            </w:pPr>
            <w:r w:rsidRPr="00A94D02">
              <w:rPr>
                <w:sz w:val="13"/>
                <w:szCs w:val="13"/>
              </w:rPr>
              <w:t>Potential for strong growth in the sector in Docks area reflecting delivery of office space and proposed transport improvements</w:t>
            </w:r>
            <w:r>
              <w:rPr>
                <w:sz w:val="13"/>
                <w:szCs w:val="13"/>
              </w:rPr>
              <w:t xml:space="preserve"> -  but also strong competition elsewhere in London</w:t>
            </w:r>
          </w:p>
        </w:tc>
      </w:tr>
    </w:tbl>
    <w:p w14:paraId="2A7F89B6" w14:textId="6D63CDF1" w:rsidR="00072A82" w:rsidRDefault="006E6391" w:rsidP="00CE72B3">
      <w:pPr>
        <w:pStyle w:val="RDTier2"/>
      </w:pPr>
      <w:r>
        <w:lastRenderedPageBreak/>
        <w:t xml:space="preserve">Understanding </w:t>
      </w:r>
      <w:r w:rsidR="009B5F9A">
        <w:t>Regional Competition</w:t>
      </w:r>
      <w:r w:rsidR="003E2176">
        <w:t xml:space="preserve">…and </w:t>
      </w:r>
      <w:r w:rsidR="00ED13D8">
        <w:t>Synergy</w:t>
      </w:r>
    </w:p>
    <w:p w14:paraId="323F26C4" w14:textId="6E49B7DD" w:rsidR="00BD7105" w:rsidRDefault="00CE72B3" w:rsidP="00CE72B3">
      <w:pPr>
        <w:pStyle w:val="RDParagraph"/>
      </w:pPr>
      <w:r>
        <w:t xml:space="preserve">The Royal Docks is situated within a highly </w:t>
      </w:r>
      <w:r w:rsidR="00245AF6">
        <w:t>dynamic</w:t>
      </w:r>
      <w:r>
        <w:t xml:space="preserve"> economic environment</w:t>
      </w:r>
      <w:r w:rsidR="00245AF6">
        <w:t xml:space="preserve"> across London</w:t>
      </w:r>
      <w:r>
        <w:t xml:space="preserve">. </w:t>
      </w:r>
    </w:p>
    <w:p w14:paraId="1653A113" w14:textId="3FC1A092" w:rsidR="00D750B4" w:rsidRDefault="0036582E" w:rsidP="00D750B4">
      <w:pPr>
        <w:pStyle w:val="RDParagraph"/>
      </w:pPr>
      <w:r>
        <w:t>Across London, there are nearly 40 Opportunity Areas o</w:t>
      </w:r>
      <w:r w:rsidR="005C23F9">
        <w:t>f various sizes and contexts</w:t>
      </w:r>
      <w:r w:rsidR="008002AF">
        <w:t xml:space="preserve"> – with capacity for </w:t>
      </w:r>
      <w:r w:rsidR="003E65EB">
        <w:t xml:space="preserve">over 470,000 homes and nearly 690,000 jobs. </w:t>
      </w:r>
      <w:r w:rsidR="00D750B4">
        <w:t xml:space="preserve">Ten of the largest and most relevant Opportunity Areas </w:t>
      </w:r>
      <w:r w:rsidR="00D11CB4">
        <w:t>to</w:t>
      </w:r>
      <w:r w:rsidR="00D750B4">
        <w:t xml:space="preserve"> the Royal Docks are introduced in the table overleaf. </w:t>
      </w:r>
      <w:r w:rsidR="002B00E0">
        <w:t>A number of</w:t>
      </w:r>
      <w:r w:rsidR="00D750B4">
        <w:t xml:space="preserve"> these</w:t>
      </w:r>
      <w:r w:rsidR="00D44FD5">
        <w:t xml:space="preserve"> </w:t>
      </w:r>
      <w:r w:rsidR="00D750B4">
        <w:t xml:space="preserve">are established economic hubs which provide strong learning </w:t>
      </w:r>
      <w:r w:rsidR="00D11CB4">
        <w:t>for</w:t>
      </w:r>
      <w:r w:rsidR="00D750B4">
        <w:t xml:space="preserve"> the Royal Docks</w:t>
      </w:r>
      <w:r w:rsidR="002B00E0">
        <w:t>. A</w:t>
      </w:r>
      <w:r w:rsidR="00D750B4">
        <w:t xml:space="preserve">t King’s Cross for example, the focus on placemaking and on accommodating major anchor institutions (Central St Martins and Google) has proved highly successful in evolving a place which supports and attracts a vibrant mix of communities. </w:t>
      </w:r>
    </w:p>
    <w:p w14:paraId="63C3F122" w14:textId="2309B83E" w:rsidR="00ED13D8" w:rsidRDefault="00ED13D8" w:rsidP="00326050">
      <w:pPr>
        <w:pStyle w:val="KeyMessageLand"/>
        <w:framePr w:w="5862" w:h="5644" w:hRule="exact" w:wrap="around" w:hAnchor="page" w:x="4572" w:y="407"/>
        <w:rPr>
          <w:b/>
          <w:sz w:val="22"/>
        </w:rPr>
      </w:pPr>
      <w:r w:rsidRPr="00ED13D8">
        <w:rPr>
          <w:b/>
          <w:sz w:val="22"/>
        </w:rPr>
        <w:t>Focus On… Thames Estuary Production Corridor</w:t>
      </w:r>
    </w:p>
    <w:p w14:paraId="452C8675" w14:textId="55D4BD90" w:rsidR="00B41271" w:rsidRPr="00B41271" w:rsidRDefault="00B41271" w:rsidP="00326050">
      <w:pPr>
        <w:pStyle w:val="KeyMessageLand"/>
        <w:framePr w:w="5862" w:h="5644" w:hRule="exact" w:wrap="around" w:hAnchor="page" w:x="4572" w:y="407"/>
        <w:jc w:val="both"/>
        <w:rPr>
          <w:sz w:val="20"/>
        </w:rPr>
      </w:pPr>
      <w:r w:rsidRPr="00D413DC">
        <w:rPr>
          <w:sz w:val="20"/>
        </w:rPr>
        <w:t>A new GLA and S</w:t>
      </w:r>
      <w:r w:rsidR="00FC7186">
        <w:rPr>
          <w:sz w:val="20"/>
        </w:rPr>
        <w:t>outh East Local Enterprise Partnership</w:t>
      </w:r>
      <w:r w:rsidRPr="00D413DC">
        <w:rPr>
          <w:sz w:val="20"/>
        </w:rPr>
        <w:t xml:space="preserve"> initiative</w:t>
      </w:r>
      <w:r w:rsidR="00B14770">
        <w:rPr>
          <w:sz w:val="20"/>
        </w:rPr>
        <w:t xml:space="preserve"> positioning the</w:t>
      </w:r>
      <w:r w:rsidRPr="00D413DC">
        <w:rPr>
          <w:sz w:val="20"/>
        </w:rPr>
        <w:t xml:space="preserve"> </w:t>
      </w:r>
      <w:r w:rsidRPr="00B41271">
        <w:rPr>
          <w:sz w:val="20"/>
        </w:rPr>
        <w:t>Thames Estuary as a globally leading cluster of creative</w:t>
      </w:r>
      <w:r w:rsidR="00283325">
        <w:rPr>
          <w:sz w:val="20"/>
        </w:rPr>
        <w:t xml:space="preserve"> and cultural</w:t>
      </w:r>
      <w:r w:rsidRPr="00B41271">
        <w:rPr>
          <w:sz w:val="20"/>
        </w:rPr>
        <w:t xml:space="preserve"> production activity</w:t>
      </w:r>
      <w:r w:rsidR="00B14770">
        <w:rPr>
          <w:sz w:val="20"/>
        </w:rPr>
        <w:t xml:space="preserve">. </w:t>
      </w:r>
      <w:r w:rsidR="000F3B8A">
        <w:rPr>
          <w:sz w:val="20"/>
        </w:rPr>
        <w:t xml:space="preserve">The </w:t>
      </w:r>
      <w:r w:rsidRPr="00B41271">
        <w:rPr>
          <w:sz w:val="20"/>
        </w:rPr>
        <w:t xml:space="preserve">Royal Docks </w:t>
      </w:r>
      <w:r w:rsidR="00FC7186">
        <w:rPr>
          <w:sz w:val="20"/>
        </w:rPr>
        <w:t xml:space="preserve">is </w:t>
      </w:r>
      <w:r w:rsidRPr="00B41271">
        <w:rPr>
          <w:sz w:val="20"/>
        </w:rPr>
        <w:t xml:space="preserve">at the gateway of </w:t>
      </w:r>
      <w:r w:rsidR="000F3B8A">
        <w:rPr>
          <w:sz w:val="20"/>
        </w:rPr>
        <w:t>the estuary and is</w:t>
      </w:r>
      <w:r w:rsidRPr="00B41271">
        <w:rPr>
          <w:sz w:val="20"/>
        </w:rPr>
        <w:t xml:space="preserve"> identified as a transformational hub</w:t>
      </w:r>
      <w:r w:rsidR="00B14770">
        <w:rPr>
          <w:sz w:val="20"/>
        </w:rPr>
        <w:t xml:space="preserve"> </w:t>
      </w:r>
      <w:r w:rsidR="00283325">
        <w:rPr>
          <w:sz w:val="20"/>
        </w:rPr>
        <w:t xml:space="preserve">for enterprise and innovation. </w:t>
      </w:r>
      <w:r w:rsidR="009E1209">
        <w:rPr>
          <w:sz w:val="20"/>
        </w:rPr>
        <w:t xml:space="preserve">This offers an opportunity to work with partners across the sub-region to </w:t>
      </w:r>
      <w:r w:rsidR="00F81553">
        <w:rPr>
          <w:sz w:val="20"/>
        </w:rPr>
        <w:t xml:space="preserve">establish momentum, build critical mass, and secure investment. </w:t>
      </w:r>
    </w:p>
    <w:p w14:paraId="3B19C993" w14:textId="6343F9DD" w:rsidR="00ED13D8" w:rsidRPr="00B41271" w:rsidRDefault="00ED13D8" w:rsidP="00326050">
      <w:pPr>
        <w:pStyle w:val="KeyMessageLand"/>
        <w:framePr w:w="5862" w:h="5644" w:hRule="exact" w:wrap="around" w:hAnchor="page" w:x="4572" w:y="407"/>
        <w:rPr>
          <w:b/>
          <w:sz w:val="22"/>
        </w:rPr>
      </w:pPr>
    </w:p>
    <w:p w14:paraId="222C55A0" w14:textId="3353BA21" w:rsidR="008737C7" w:rsidRDefault="007C7A1B" w:rsidP="00770296">
      <w:pPr>
        <w:pStyle w:val="RDParagraph"/>
      </w:pPr>
      <w:r>
        <w:rPr>
          <w:noProof/>
        </w:rPr>
        <w:drawing>
          <wp:anchor distT="0" distB="0" distL="114300" distR="114300" simplePos="0" relativeHeight="251658264" behindDoc="0" locked="0" layoutInCell="1" allowOverlap="1" wp14:anchorId="77B22738" wp14:editId="4F03A18F">
            <wp:simplePos x="0" y="0"/>
            <wp:positionH relativeFrom="column">
              <wp:posOffset>2167255</wp:posOffset>
            </wp:positionH>
            <wp:positionV relativeFrom="paragraph">
              <wp:posOffset>1736090</wp:posOffset>
            </wp:positionV>
            <wp:extent cx="3682143" cy="19875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2143" cy="1987550"/>
                    </a:xfrm>
                    <a:prstGeom prst="rect">
                      <a:avLst/>
                    </a:prstGeom>
                    <a:noFill/>
                  </pic:spPr>
                </pic:pic>
              </a:graphicData>
            </a:graphic>
            <wp14:sizeRelH relativeFrom="page">
              <wp14:pctWidth>0</wp14:pctWidth>
            </wp14:sizeRelH>
            <wp14:sizeRelV relativeFrom="page">
              <wp14:pctHeight>0</wp14:pctHeight>
            </wp14:sizeRelV>
          </wp:anchor>
        </w:drawing>
      </w:r>
      <w:r w:rsidR="00903918">
        <w:t>While many of these locations will be competitors with the Royal Docks for investment, it is also important to note areas of synergy</w:t>
      </w:r>
      <w:r w:rsidR="004A58FC">
        <w:t xml:space="preserve">. </w:t>
      </w:r>
      <w:r w:rsidR="00353A1C">
        <w:t xml:space="preserve">As highlighted previously, the last decade has seen a large amount of momentum in the evolution and growth of the east London economy, </w:t>
      </w:r>
      <w:r w:rsidR="002C3F38">
        <w:t xml:space="preserve">with </w:t>
      </w:r>
      <w:r w:rsidR="00E16538">
        <w:t xml:space="preserve">the area becoming increasingly recognised as a </w:t>
      </w:r>
      <w:r w:rsidR="003E2A06">
        <w:t xml:space="preserve">hub for culture and creativity. </w:t>
      </w:r>
      <w:r w:rsidR="00AC6D91">
        <w:t xml:space="preserve">While </w:t>
      </w:r>
      <w:r w:rsidR="00F11AB7">
        <w:t>underpinned by</w:t>
      </w:r>
      <w:r w:rsidR="00AC6D91">
        <w:t xml:space="preserve"> eastward movement of creative enterprise</w:t>
      </w:r>
      <w:r w:rsidR="001D3F1F">
        <w:t xml:space="preserve">, </w:t>
      </w:r>
      <w:r w:rsidR="00AB03DF">
        <w:t>creativity and culture is being positioned at the hear</w:t>
      </w:r>
      <w:r w:rsidR="00DE0181">
        <w:t>t</w:t>
      </w:r>
      <w:r w:rsidR="00AB03DF">
        <w:t xml:space="preserve"> of many of the areas largest developments and Opportunity Area’s - from East Bank in Stratford (Olympic Legacy Area), to the Greenwich </w:t>
      </w:r>
      <w:r w:rsidR="009755FA">
        <w:t>Design Quarter and the Woolwich Creative District. Major cross area initiatives such as Fashion District and the Thames Estuary Production Corridor are further reflective of the momentum across the sub-region.</w:t>
      </w:r>
    </w:p>
    <w:p w14:paraId="234AAF54" w14:textId="40AB2D28" w:rsidR="009C39C3" w:rsidRDefault="00D44FD5" w:rsidP="00D44FD5">
      <w:pPr>
        <w:pStyle w:val="RDParagraph"/>
        <w:sectPr w:rsidR="009C39C3" w:rsidSect="00F76347">
          <w:footerReference w:type="default" r:id="rId22"/>
          <w:pgSz w:w="11906" w:h="16838" w:code="9"/>
          <w:pgMar w:top="1417" w:right="1247" w:bottom="1587" w:left="1247" w:header="680" w:footer="340" w:gutter="0"/>
          <w:cols w:space="708"/>
          <w:docGrid w:linePitch="360"/>
        </w:sectPr>
      </w:pPr>
      <w:r w:rsidRPr="008A12D6">
        <w:rPr>
          <w:rFonts w:eastAsiaTheme="minorHAnsi"/>
          <w:noProof/>
          <w:szCs w:val="20"/>
        </w:rPr>
        <mc:AlternateContent>
          <mc:Choice Requires="wps">
            <w:drawing>
              <wp:anchor distT="0" distB="0" distL="114300" distR="114300" simplePos="0" relativeHeight="251658246" behindDoc="1" locked="0" layoutInCell="1" allowOverlap="1" wp14:anchorId="1FE83B6C" wp14:editId="7B088017">
                <wp:simplePos x="0" y="0"/>
                <wp:positionH relativeFrom="margin">
                  <wp:align>right</wp:align>
                </wp:positionH>
                <wp:positionV relativeFrom="paragraph">
                  <wp:posOffset>1305023</wp:posOffset>
                </wp:positionV>
                <wp:extent cx="5527675" cy="1215390"/>
                <wp:effectExtent l="0" t="0" r="0" b="3810"/>
                <wp:wrapSquare wrapText="bothSides"/>
                <wp:docPr id="349" name="TextBox 6"/>
                <wp:cNvGraphicFramePr/>
                <a:graphic xmlns:a="http://schemas.openxmlformats.org/drawingml/2006/main">
                  <a:graphicData uri="http://schemas.microsoft.com/office/word/2010/wordprocessingShape">
                    <wps:wsp>
                      <wps:cNvSpPr txBox="1"/>
                      <wps:spPr>
                        <a:xfrm>
                          <a:off x="0" y="0"/>
                          <a:ext cx="5527675" cy="1215390"/>
                        </a:xfrm>
                        <a:prstGeom prst="rect">
                          <a:avLst/>
                        </a:prstGeom>
                        <a:solidFill>
                          <a:srgbClr val="D6DEE3"/>
                        </a:solidFill>
                      </wps:spPr>
                      <wps:txbx>
                        <w:txbxContent>
                          <w:p w14:paraId="6D1249BA" w14:textId="77777777" w:rsidR="006F3AC6" w:rsidRDefault="006F3AC6" w:rsidP="00DE0181">
                            <w:pPr>
                              <w:pStyle w:val="RDTier2"/>
                              <w:spacing w:before="40" w:after="40"/>
                              <w:ind w:left="0"/>
                              <w:rPr>
                                <w:sz w:val="24"/>
                              </w:rPr>
                            </w:pPr>
                            <w:r w:rsidRPr="00D0201F">
                              <w:rPr>
                                <w:sz w:val="24"/>
                              </w:rPr>
                              <w:t>Implications for the Royal Docks Economic Purpose</w:t>
                            </w:r>
                          </w:p>
                          <w:p w14:paraId="681A794D" w14:textId="43CF18FC" w:rsidR="006F3AC6" w:rsidRDefault="006F3AC6" w:rsidP="00DE0181">
                            <w:pPr>
                              <w:pStyle w:val="RDParagraph"/>
                              <w:spacing w:before="40" w:after="40"/>
                              <w:ind w:left="0"/>
                            </w:pPr>
                            <w:r>
                              <w:t xml:space="preserve">In responding to competition across London and the UK, it is important that the Royal Docks establishes a clear identity which differentiates it to investors both within the UK and the world. The growing recognition and identity of the east London economy helps in this regard, and the availability of space and resource locally offers significant opportunity for the Royal Docks to capitalise on and push forward this momentum. </w:t>
                            </w:r>
                          </w:p>
                          <w:p w14:paraId="0F9A138B" w14:textId="77777777" w:rsidR="006F3AC6" w:rsidRPr="00770296" w:rsidRDefault="006F3AC6" w:rsidP="00770296">
                            <w:pPr>
                              <w:spacing w:before="60" w:after="60"/>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1FE83B6C" id="_x0000_s1034" type="#_x0000_t202" style="position:absolute;left:0;text-align:left;margin-left:384.05pt;margin-top:102.75pt;width:435.25pt;height:95.7pt;z-index:-25165823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" fillcolor="#d6dee3" stroked="f">
                <v:textbox>
                  <w:txbxContent>
                    <w:p w14:paraId="6D1249BA" w14:textId="77777777" w:rsidR="006F3AC6" w:rsidRDefault="006F3AC6" w:rsidP="00DE0181">
                      <w:pPr>
                        <w:pStyle w:val="RDTier2"/>
                        <w:spacing w:before="40" w:after="40"/>
                        <w:ind w:left="0"/>
                        <w:rPr>
                          <w:sz w:val="24"/>
                        </w:rPr>
                      </w:pPr>
                      <w:r w:rsidRPr="00D0201F">
                        <w:rPr>
                          <w:sz w:val="24"/>
                        </w:rPr>
                        <w:t>Implications for the Royal Docks Economic Purpose</w:t>
                      </w:r>
                    </w:p>
                    <w:p w14:paraId="681A794D" w14:textId="43CF18FC" w:rsidR="006F3AC6" w:rsidRDefault="006F3AC6" w:rsidP="00DE0181">
                      <w:pPr>
                        <w:pStyle w:val="RDParagraph"/>
                        <w:spacing w:before="40" w:after="40"/>
                        <w:ind w:left="0"/>
                      </w:pPr>
                      <w:r>
                        <w:t xml:space="preserve">In responding to competition across London and the UK, it is important that the Royal Docks establishes a clear identity which differentiates it to investors both within the UK and the world. The growing recognition and identity of the east London economy helps in this regard, and the availability of space and resource locally offers significant opportunity for the Royal Docks to capitalise on and push forward this momentum. </w:t>
                      </w:r>
                    </w:p>
                    <w:p w14:paraId="0F9A138B" w14:textId="77777777" w:rsidR="006F3AC6" w:rsidRPr="00770296" w:rsidRDefault="006F3AC6" w:rsidP="00770296">
                      <w:pPr>
                        <w:spacing w:before="60" w:after="60"/>
                      </w:pPr>
                    </w:p>
                  </w:txbxContent>
                </v:textbox>
                <w10:wrap type="square" anchorx="margin"/>
              </v:shape>
            </w:pict>
          </mc:Fallback>
        </mc:AlternateContent>
      </w:r>
      <w:r w:rsidR="00770296">
        <w:t>Beyond London, the UK economic context is also increasingly competitive. All 37 of England’s Local Enterprise Partnership (LEP) Areas have been tasked with establishing Local Industrial Strategy’s which identify areas of economic specialism and which establish a clear focus for future growth and investment. The government’s ongoing focus on strengthening economic prosperity within the north (the Northern Powerhouse) and the Midlands (the Midlands Engine), along with strategic transport investments such as HS2 are targeted at redefining economic geographies and balance across the UK.</w:t>
      </w:r>
      <w:r w:rsidR="0041367A">
        <w:t xml:space="preserve"> </w:t>
      </w:r>
    </w:p>
    <w:p w14:paraId="0958577F" w14:textId="7D5450C7" w:rsidR="00FA2A8E" w:rsidRDefault="0062755C" w:rsidP="00FA2A8E">
      <w:pPr>
        <w:pStyle w:val="RDTier2"/>
        <w:ind w:left="0"/>
        <w:rPr>
          <w:i/>
          <w:sz w:val="20"/>
          <w:lang w:val="en-US"/>
        </w:rPr>
      </w:pPr>
      <w:r>
        <w:rPr>
          <w:i/>
          <w:sz w:val="20"/>
          <w:lang w:val="en-US"/>
        </w:rPr>
        <w:lastRenderedPageBreak/>
        <w:t>Table 3.</w:t>
      </w:r>
      <w:r w:rsidR="006B40D0">
        <w:rPr>
          <w:i/>
          <w:sz w:val="20"/>
          <w:lang w:val="en-US"/>
        </w:rPr>
        <w:t>4</w:t>
      </w:r>
      <w:r>
        <w:rPr>
          <w:i/>
          <w:sz w:val="20"/>
          <w:lang w:val="en-US"/>
        </w:rPr>
        <w:t xml:space="preserve">. </w:t>
      </w:r>
      <w:r w:rsidR="00FA2A8E" w:rsidRPr="0062755C">
        <w:rPr>
          <w:i/>
          <w:sz w:val="20"/>
          <w:lang w:val="en-US"/>
        </w:rPr>
        <w:t>Snapshot of Economic Aspirations of Selected Comparator Opportunity Areas</w:t>
      </w:r>
    </w:p>
    <w:tbl>
      <w:tblPr>
        <w:tblStyle w:val="PlainTable4"/>
        <w:tblW w:w="0" w:type="auto"/>
        <w:tblLook w:val="0400" w:firstRow="0" w:lastRow="0" w:firstColumn="0" w:lastColumn="0" w:noHBand="0" w:noVBand="1"/>
      </w:tblPr>
      <w:tblGrid>
        <w:gridCol w:w="1092"/>
        <w:gridCol w:w="860"/>
        <w:gridCol w:w="1167"/>
        <w:gridCol w:w="1038"/>
        <w:gridCol w:w="1230"/>
        <w:gridCol w:w="2317"/>
        <w:gridCol w:w="1708"/>
      </w:tblGrid>
      <w:tr w:rsidR="00810246" w:rsidRPr="00474ACC" w14:paraId="3AF5BB6A" w14:textId="77777777" w:rsidTr="00BF7A15">
        <w:trPr>
          <w:cnfStyle w:val="000000100000" w:firstRow="0" w:lastRow="0" w:firstColumn="0" w:lastColumn="0" w:oddVBand="0" w:evenVBand="0" w:oddHBand="1" w:evenHBand="0" w:firstRowFirstColumn="0" w:firstRowLastColumn="0" w:lastRowFirstColumn="0" w:lastRowLastColumn="0"/>
          <w:trHeight w:val="232"/>
        </w:trPr>
        <w:tc>
          <w:tcPr>
            <w:tcW w:w="1092" w:type="dxa"/>
            <w:vMerge w:val="restart"/>
            <w:tcBorders>
              <w:top w:val="single" w:sz="18" w:space="0" w:color="052D3F"/>
            </w:tcBorders>
            <w:hideMark/>
          </w:tcPr>
          <w:p w14:paraId="52CCF0F4" w14:textId="014D8714" w:rsidR="00474ACC" w:rsidRPr="00083FA4" w:rsidRDefault="00474ACC" w:rsidP="00474ACC">
            <w:pPr>
              <w:pStyle w:val="TableTitleInTable"/>
              <w:rPr>
                <w:b/>
                <w:sz w:val="16"/>
                <w:lang w:val="en-US"/>
              </w:rPr>
            </w:pPr>
          </w:p>
        </w:tc>
        <w:tc>
          <w:tcPr>
            <w:tcW w:w="3065" w:type="dxa"/>
            <w:gridSpan w:val="3"/>
            <w:tcBorders>
              <w:top w:val="single" w:sz="18" w:space="0" w:color="052D3F"/>
              <w:bottom w:val="single" w:sz="18" w:space="0" w:color="052D3F"/>
            </w:tcBorders>
            <w:hideMark/>
          </w:tcPr>
          <w:p w14:paraId="1B449457" w14:textId="77777777" w:rsidR="00474ACC" w:rsidRPr="00810246" w:rsidRDefault="00474ACC" w:rsidP="00083FA4">
            <w:pPr>
              <w:pStyle w:val="TableTitleInTable"/>
              <w:jc w:val="center"/>
              <w:rPr>
                <w:b/>
                <w:color w:val="FF5000" w:themeColor="accent6"/>
                <w:sz w:val="20"/>
                <w:lang w:val="en-US"/>
              </w:rPr>
            </w:pPr>
            <w:r w:rsidRPr="00810246">
              <w:rPr>
                <w:b/>
                <w:color w:val="FF5000" w:themeColor="accent6"/>
                <w:sz w:val="20"/>
              </w:rPr>
              <w:t>Current Context</w:t>
            </w:r>
          </w:p>
        </w:tc>
        <w:tc>
          <w:tcPr>
            <w:tcW w:w="5255" w:type="dxa"/>
            <w:gridSpan w:val="3"/>
            <w:tcBorders>
              <w:top w:val="single" w:sz="18" w:space="0" w:color="052D3F"/>
              <w:bottom w:val="single" w:sz="18" w:space="0" w:color="052D3F"/>
            </w:tcBorders>
            <w:hideMark/>
          </w:tcPr>
          <w:p w14:paraId="30FB7CF6" w14:textId="77777777" w:rsidR="00474ACC" w:rsidRPr="00810246" w:rsidRDefault="00474ACC" w:rsidP="00083FA4">
            <w:pPr>
              <w:pStyle w:val="TableTitleInTable"/>
              <w:jc w:val="center"/>
              <w:rPr>
                <w:b/>
                <w:color w:val="FF5000" w:themeColor="accent6"/>
                <w:sz w:val="20"/>
                <w:lang w:val="en-US"/>
              </w:rPr>
            </w:pPr>
            <w:r w:rsidRPr="00810246">
              <w:rPr>
                <w:b/>
                <w:color w:val="FF5000" w:themeColor="accent6"/>
                <w:sz w:val="20"/>
              </w:rPr>
              <w:t>Opportunity</w:t>
            </w:r>
          </w:p>
        </w:tc>
      </w:tr>
      <w:tr w:rsidR="00BF7A15" w:rsidRPr="00474ACC" w14:paraId="68477778" w14:textId="77777777" w:rsidTr="00EF1536">
        <w:trPr>
          <w:trHeight w:val="52"/>
        </w:trPr>
        <w:tc>
          <w:tcPr>
            <w:tcW w:w="1092" w:type="dxa"/>
            <w:vMerge/>
            <w:tcBorders>
              <w:bottom w:val="single" w:sz="18" w:space="0" w:color="052D3F"/>
            </w:tcBorders>
            <w:hideMark/>
          </w:tcPr>
          <w:p w14:paraId="0023A761" w14:textId="77777777" w:rsidR="00474ACC" w:rsidRPr="00474ACC" w:rsidRDefault="00474ACC" w:rsidP="00474ACC">
            <w:pPr>
              <w:pStyle w:val="TableTitleInTable"/>
              <w:rPr>
                <w:sz w:val="16"/>
                <w:lang w:val="en-US"/>
              </w:rPr>
            </w:pPr>
          </w:p>
        </w:tc>
        <w:tc>
          <w:tcPr>
            <w:tcW w:w="860" w:type="dxa"/>
            <w:tcBorders>
              <w:top w:val="single" w:sz="18" w:space="0" w:color="052D3F"/>
              <w:bottom w:val="single" w:sz="18" w:space="0" w:color="052D3F"/>
            </w:tcBorders>
            <w:hideMark/>
          </w:tcPr>
          <w:p w14:paraId="0729DE8E" w14:textId="744CC65D" w:rsidR="00474ACC" w:rsidRPr="00BF7A15" w:rsidRDefault="00474ACC" w:rsidP="00FD6C6E">
            <w:pPr>
              <w:pStyle w:val="TableTitleInTable"/>
              <w:jc w:val="center"/>
              <w:rPr>
                <w:b/>
                <w:color w:val="FF5000" w:themeColor="accent6"/>
                <w:sz w:val="16"/>
                <w:szCs w:val="16"/>
                <w:lang w:val="en-US"/>
              </w:rPr>
            </w:pPr>
            <w:r w:rsidRPr="00BF7A15">
              <w:rPr>
                <w:b/>
                <w:color w:val="FF5000" w:themeColor="accent6"/>
                <w:sz w:val="16"/>
                <w:szCs w:val="16"/>
              </w:rPr>
              <w:t>Jobs Change  (13-17)</w:t>
            </w:r>
          </w:p>
        </w:tc>
        <w:tc>
          <w:tcPr>
            <w:tcW w:w="1167" w:type="dxa"/>
            <w:tcBorders>
              <w:top w:val="single" w:sz="18" w:space="0" w:color="052D3F"/>
              <w:bottom w:val="single" w:sz="18" w:space="0" w:color="052D3F"/>
            </w:tcBorders>
            <w:hideMark/>
          </w:tcPr>
          <w:p w14:paraId="6C4B8FFA" w14:textId="6B4482E8" w:rsidR="00474ACC" w:rsidRPr="00BF7A15" w:rsidRDefault="00474ACC" w:rsidP="00083FA4">
            <w:pPr>
              <w:pStyle w:val="TableTitleInTable"/>
              <w:jc w:val="center"/>
              <w:rPr>
                <w:b/>
                <w:color w:val="FF5000" w:themeColor="accent6"/>
                <w:sz w:val="16"/>
                <w:szCs w:val="16"/>
                <w:lang w:val="en-US"/>
              </w:rPr>
            </w:pPr>
            <w:r w:rsidRPr="00BF7A15">
              <w:rPr>
                <w:b/>
                <w:color w:val="FF5000" w:themeColor="accent6"/>
                <w:sz w:val="16"/>
                <w:szCs w:val="16"/>
              </w:rPr>
              <w:t>Knowledge Economy</w:t>
            </w:r>
            <w:r w:rsidR="00BF7A15">
              <w:rPr>
                <w:b/>
                <w:color w:val="FF5000" w:themeColor="accent6"/>
                <w:sz w:val="16"/>
                <w:szCs w:val="16"/>
              </w:rPr>
              <w:t xml:space="preserve"> (% jobs)</w:t>
            </w:r>
          </w:p>
          <w:p w14:paraId="29DF51F9" w14:textId="220E32B5" w:rsidR="00474ACC" w:rsidRPr="00BF7A15" w:rsidRDefault="00474ACC" w:rsidP="00083FA4">
            <w:pPr>
              <w:pStyle w:val="TableTitleInTable"/>
              <w:jc w:val="center"/>
              <w:rPr>
                <w:b/>
                <w:color w:val="FF5000" w:themeColor="accent6"/>
                <w:sz w:val="16"/>
                <w:szCs w:val="16"/>
                <w:lang w:val="en-US"/>
              </w:rPr>
            </w:pPr>
          </w:p>
        </w:tc>
        <w:tc>
          <w:tcPr>
            <w:tcW w:w="1038" w:type="dxa"/>
            <w:tcBorders>
              <w:top w:val="single" w:sz="18" w:space="0" w:color="052D3F"/>
              <w:bottom w:val="single" w:sz="18" w:space="0" w:color="052D3F"/>
            </w:tcBorders>
            <w:hideMark/>
          </w:tcPr>
          <w:p w14:paraId="77588383" w14:textId="7E46D8C0" w:rsidR="00474ACC" w:rsidRPr="00BF7A15" w:rsidRDefault="008E465E" w:rsidP="00083FA4">
            <w:pPr>
              <w:pStyle w:val="TableTitleInTable"/>
              <w:jc w:val="center"/>
              <w:rPr>
                <w:b/>
                <w:color w:val="FF5000" w:themeColor="accent6"/>
                <w:sz w:val="16"/>
                <w:szCs w:val="16"/>
                <w:lang w:val="en-US"/>
              </w:rPr>
            </w:pPr>
            <w:r w:rsidRPr="00BF7A15">
              <w:rPr>
                <w:b/>
                <w:color w:val="FF5000" w:themeColor="accent6"/>
                <w:sz w:val="16"/>
                <w:szCs w:val="16"/>
              </w:rPr>
              <w:t xml:space="preserve">Economic Density </w:t>
            </w:r>
          </w:p>
          <w:p w14:paraId="19BA326D" w14:textId="44170B90" w:rsidR="00474ACC" w:rsidRPr="00BF7A15" w:rsidRDefault="00474ACC" w:rsidP="00083FA4">
            <w:pPr>
              <w:pStyle w:val="TableTitleInTable"/>
              <w:jc w:val="center"/>
              <w:rPr>
                <w:b/>
                <w:color w:val="FF5000" w:themeColor="accent6"/>
                <w:sz w:val="16"/>
                <w:szCs w:val="16"/>
                <w:lang w:val="en-US"/>
              </w:rPr>
            </w:pPr>
          </w:p>
        </w:tc>
        <w:tc>
          <w:tcPr>
            <w:tcW w:w="1230" w:type="dxa"/>
            <w:tcBorders>
              <w:top w:val="single" w:sz="18" w:space="0" w:color="052D3F"/>
              <w:bottom w:val="single" w:sz="18" w:space="0" w:color="052D3F"/>
            </w:tcBorders>
            <w:vAlign w:val="center"/>
            <w:hideMark/>
          </w:tcPr>
          <w:p w14:paraId="172D4090" w14:textId="4E985F5F" w:rsidR="00474ACC" w:rsidRPr="00BF7A15" w:rsidRDefault="00474ACC" w:rsidP="00FA2A8E">
            <w:pPr>
              <w:pStyle w:val="TableTitleInTable"/>
              <w:jc w:val="center"/>
              <w:rPr>
                <w:b/>
                <w:color w:val="FF5000" w:themeColor="accent6"/>
                <w:sz w:val="16"/>
                <w:szCs w:val="16"/>
                <w:lang w:val="en-US"/>
              </w:rPr>
            </w:pPr>
            <w:r w:rsidRPr="00BF7A15">
              <w:rPr>
                <w:b/>
                <w:color w:val="FF5000" w:themeColor="accent6"/>
                <w:sz w:val="16"/>
                <w:szCs w:val="16"/>
              </w:rPr>
              <w:t>Potential</w:t>
            </w:r>
          </w:p>
        </w:tc>
        <w:tc>
          <w:tcPr>
            <w:tcW w:w="2317" w:type="dxa"/>
            <w:tcBorders>
              <w:top w:val="single" w:sz="18" w:space="0" w:color="052D3F"/>
              <w:bottom w:val="single" w:sz="18" w:space="0" w:color="052D3F"/>
            </w:tcBorders>
            <w:vAlign w:val="center"/>
            <w:hideMark/>
          </w:tcPr>
          <w:p w14:paraId="3E129A4C" w14:textId="46C30D63" w:rsidR="00474ACC" w:rsidRPr="00BF7A15" w:rsidRDefault="00474ACC" w:rsidP="00FA2A8E">
            <w:pPr>
              <w:pStyle w:val="TableTitleInTable"/>
              <w:jc w:val="center"/>
              <w:rPr>
                <w:b/>
                <w:color w:val="FF5000" w:themeColor="accent6"/>
                <w:sz w:val="16"/>
                <w:szCs w:val="16"/>
                <w:lang w:val="en-US"/>
              </w:rPr>
            </w:pPr>
            <w:r w:rsidRPr="00BF7A15">
              <w:rPr>
                <w:b/>
                <w:color w:val="FF5000" w:themeColor="accent6"/>
                <w:sz w:val="16"/>
                <w:szCs w:val="16"/>
              </w:rPr>
              <w:t>Focus</w:t>
            </w:r>
            <w:r w:rsidR="00326050">
              <w:rPr>
                <w:b/>
                <w:color w:val="FF5000" w:themeColor="accent6"/>
                <w:sz w:val="16"/>
                <w:szCs w:val="16"/>
              </w:rPr>
              <w:t xml:space="preserve"> and Identity</w:t>
            </w:r>
          </w:p>
        </w:tc>
        <w:tc>
          <w:tcPr>
            <w:tcW w:w="1708" w:type="dxa"/>
            <w:tcBorders>
              <w:top w:val="single" w:sz="18" w:space="0" w:color="052D3F"/>
              <w:bottom w:val="single" w:sz="18" w:space="0" w:color="052D3F"/>
            </w:tcBorders>
            <w:vAlign w:val="center"/>
            <w:hideMark/>
          </w:tcPr>
          <w:p w14:paraId="6AB6221C" w14:textId="77777777" w:rsidR="00474ACC" w:rsidRPr="00BF7A15" w:rsidRDefault="00474ACC" w:rsidP="00FA2A8E">
            <w:pPr>
              <w:pStyle w:val="TableTitleInTable"/>
              <w:jc w:val="center"/>
              <w:rPr>
                <w:b/>
                <w:color w:val="FF5000" w:themeColor="accent6"/>
                <w:sz w:val="16"/>
                <w:szCs w:val="16"/>
                <w:lang w:val="en-US"/>
              </w:rPr>
            </w:pPr>
            <w:r w:rsidRPr="00BF7A15">
              <w:rPr>
                <w:b/>
                <w:color w:val="FF5000" w:themeColor="accent6"/>
                <w:sz w:val="16"/>
                <w:szCs w:val="16"/>
              </w:rPr>
              <w:t>Assets</w:t>
            </w:r>
          </w:p>
        </w:tc>
      </w:tr>
      <w:tr w:rsidR="00BF7A15" w:rsidRPr="00474ACC" w14:paraId="483D7293" w14:textId="77777777" w:rsidTr="00EF1536">
        <w:trPr>
          <w:cnfStyle w:val="000000100000" w:firstRow="0" w:lastRow="0" w:firstColumn="0" w:lastColumn="0" w:oddVBand="0" w:evenVBand="0" w:oddHBand="1" w:evenHBand="0" w:firstRowFirstColumn="0" w:firstRowLastColumn="0" w:lastRowFirstColumn="0" w:lastRowLastColumn="0"/>
          <w:trHeight w:val="595"/>
        </w:trPr>
        <w:tc>
          <w:tcPr>
            <w:tcW w:w="1092" w:type="dxa"/>
            <w:tcBorders>
              <w:top w:val="single" w:sz="18" w:space="0" w:color="052D3F"/>
              <w:bottom w:val="single" w:sz="8" w:space="0" w:color="FF5000"/>
            </w:tcBorders>
            <w:vAlign w:val="center"/>
            <w:hideMark/>
          </w:tcPr>
          <w:p w14:paraId="18BF14A2" w14:textId="6919C8EB" w:rsidR="00474ACC" w:rsidRPr="00810246" w:rsidRDefault="00474ACC" w:rsidP="00FA2A8E">
            <w:pPr>
              <w:pStyle w:val="TableTitleInTable"/>
              <w:rPr>
                <w:b/>
                <w:color w:val="052D3F" w:themeColor="accent1"/>
                <w:sz w:val="16"/>
                <w:lang w:val="en-US"/>
              </w:rPr>
            </w:pPr>
            <w:r w:rsidRPr="00810246">
              <w:rPr>
                <w:b/>
                <w:color w:val="052D3F" w:themeColor="accent1"/>
                <w:sz w:val="16"/>
              </w:rPr>
              <w:t>Brent Cross and Crickle</w:t>
            </w:r>
            <w:r w:rsidR="004D5706">
              <w:rPr>
                <w:b/>
                <w:color w:val="052D3F" w:themeColor="accent1"/>
                <w:sz w:val="16"/>
              </w:rPr>
              <w:t>-</w:t>
            </w:r>
            <w:r w:rsidRPr="00810246">
              <w:rPr>
                <w:b/>
                <w:color w:val="052D3F" w:themeColor="accent1"/>
                <w:sz w:val="16"/>
              </w:rPr>
              <w:t xml:space="preserve">wood </w:t>
            </w:r>
          </w:p>
        </w:tc>
        <w:tc>
          <w:tcPr>
            <w:tcW w:w="860" w:type="dxa"/>
            <w:tcBorders>
              <w:top w:val="single" w:sz="18" w:space="0" w:color="052D3F"/>
              <w:bottom w:val="single" w:sz="8" w:space="0" w:color="FF5000"/>
            </w:tcBorders>
            <w:vAlign w:val="center"/>
            <w:hideMark/>
          </w:tcPr>
          <w:p w14:paraId="75873CC0" w14:textId="77777777" w:rsidR="00474ACC" w:rsidRPr="00FA2A8E" w:rsidRDefault="00474ACC" w:rsidP="00FA2A8E">
            <w:pPr>
              <w:pStyle w:val="TableTitleInTable"/>
              <w:jc w:val="center"/>
              <w:rPr>
                <w:color w:val="C00000"/>
                <w:sz w:val="18"/>
                <w:lang w:val="en-US"/>
              </w:rPr>
            </w:pPr>
            <w:r w:rsidRPr="00FA2A8E">
              <w:rPr>
                <w:color w:val="C00000"/>
                <w:sz w:val="18"/>
              </w:rPr>
              <w:t>+3%</w:t>
            </w:r>
          </w:p>
        </w:tc>
        <w:tc>
          <w:tcPr>
            <w:tcW w:w="1167" w:type="dxa"/>
            <w:tcBorders>
              <w:top w:val="single" w:sz="18" w:space="0" w:color="052D3F"/>
              <w:bottom w:val="single" w:sz="8" w:space="0" w:color="FF5000"/>
            </w:tcBorders>
            <w:vAlign w:val="center"/>
            <w:hideMark/>
          </w:tcPr>
          <w:p w14:paraId="603290E7" w14:textId="77777777" w:rsidR="00474ACC" w:rsidRPr="00FA2A8E" w:rsidRDefault="00474ACC" w:rsidP="00FA2A8E">
            <w:pPr>
              <w:pStyle w:val="TableTitleInTable"/>
              <w:jc w:val="center"/>
              <w:rPr>
                <w:color w:val="C00000"/>
                <w:sz w:val="18"/>
                <w:lang w:val="en-US"/>
              </w:rPr>
            </w:pPr>
            <w:r w:rsidRPr="00FA2A8E">
              <w:rPr>
                <w:color w:val="C00000"/>
                <w:sz w:val="18"/>
              </w:rPr>
              <w:t>7%</w:t>
            </w:r>
          </w:p>
        </w:tc>
        <w:tc>
          <w:tcPr>
            <w:tcW w:w="1038" w:type="dxa"/>
            <w:tcBorders>
              <w:top w:val="single" w:sz="18" w:space="0" w:color="052D3F"/>
              <w:bottom w:val="single" w:sz="8" w:space="0" w:color="FF5000"/>
            </w:tcBorders>
            <w:vAlign w:val="center"/>
            <w:hideMark/>
          </w:tcPr>
          <w:p w14:paraId="0EEDD134" w14:textId="77777777" w:rsidR="00474ACC" w:rsidRPr="00FA2A8E" w:rsidRDefault="00474ACC" w:rsidP="00FA2A8E">
            <w:pPr>
              <w:pStyle w:val="TableTitleInTable"/>
              <w:jc w:val="center"/>
              <w:rPr>
                <w:sz w:val="18"/>
                <w:lang w:val="en-US"/>
              </w:rPr>
            </w:pPr>
            <w:r w:rsidRPr="00FA2A8E">
              <w:rPr>
                <w:color w:val="00B050"/>
                <w:sz w:val="18"/>
              </w:rPr>
              <w:t>0.6</w:t>
            </w:r>
          </w:p>
        </w:tc>
        <w:tc>
          <w:tcPr>
            <w:tcW w:w="1230" w:type="dxa"/>
            <w:tcBorders>
              <w:top w:val="single" w:sz="18" w:space="0" w:color="052D3F"/>
              <w:bottom w:val="single" w:sz="8" w:space="0" w:color="FF5000"/>
            </w:tcBorders>
            <w:vAlign w:val="center"/>
            <w:hideMark/>
          </w:tcPr>
          <w:p w14:paraId="547F5EDA" w14:textId="77777777" w:rsidR="00474ACC" w:rsidRPr="00BF7A15" w:rsidRDefault="00474ACC" w:rsidP="00FA2A8E">
            <w:pPr>
              <w:pStyle w:val="TableTitleInTable"/>
              <w:rPr>
                <w:sz w:val="15"/>
                <w:szCs w:val="15"/>
                <w:lang w:val="en-US"/>
              </w:rPr>
            </w:pPr>
            <w:r w:rsidRPr="00BF7A15">
              <w:rPr>
                <w:sz w:val="15"/>
                <w:szCs w:val="15"/>
              </w:rPr>
              <w:t>Status: ready to grow; 9.5k homes; 26k jobs</w:t>
            </w:r>
          </w:p>
        </w:tc>
        <w:tc>
          <w:tcPr>
            <w:tcW w:w="2317" w:type="dxa"/>
            <w:tcBorders>
              <w:top w:val="single" w:sz="18" w:space="0" w:color="052D3F"/>
              <w:bottom w:val="single" w:sz="8" w:space="0" w:color="FF5000"/>
            </w:tcBorders>
            <w:vAlign w:val="center"/>
            <w:hideMark/>
          </w:tcPr>
          <w:p w14:paraId="3566BC6B" w14:textId="77777777" w:rsidR="00474ACC" w:rsidRPr="00BF7A15" w:rsidRDefault="00474ACC" w:rsidP="00FA2A8E">
            <w:pPr>
              <w:pStyle w:val="TableTitleInTable"/>
              <w:rPr>
                <w:sz w:val="15"/>
                <w:szCs w:val="15"/>
                <w:lang w:val="en-US"/>
              </w:rPr>
            </w:pPr>
            <w:r w:rsidRPr="00BF7A15">
              <w:rPr>
                <w:sz w:val="15"/>
                <w:szCs w:val="15"/>
              </w:rPr>
              <w:t>No clear identity or sector focus</w:t>
            </w:r>
          </w:p>
        </w:tc>
        <w:tc>
          <w:tcPr>
            <w:tcW w:w="1708" w:type="dxa"/>
            <w:tcBorders>
              <w:top w:val="single" w:sz="18" w:space="0" w:color="052D3F"/>
              <w:bottom w:val="single" w:sz="8" w:space="0" w:color="FF5000"/>
            </w:tcBorders>
            <w:vAlign w:val="center"/>
            <w:hideMark/>
          </w:tcPr>
          <w:p w14:paraId="41572BF0" w14:textId="59C84807" w:rsidR="00474ACC" w:rsidRPr="00BF7A15" w:rsidRDefault="00EF1536" w:rsidP="00FA2A8E">
            <w:pPr>
              <w:pStyle w:val="TableTitleInTable"/>
              <w:rPr>
                <w:sz w:val="15"/>
                <w:szCs w:val="15"/>
                <w:lang w:val="en-US"/>
              </w:rPr>
            </w:pPr>
            <w:r>
              <w:rPr>
                <w:sz w:val="15"/>
                <w:szCs w:val="15"/>
              </w:rPr>
              <w:t>R</w:t>
            </w:r>
            <w:r w:rsidR="00BF7A15">
              <w:rPr>
                <w:sz w:val="15"/>
                <w:szCs w:val="15"/>
              </w:rPr>
              <w:t>evamped</w:t>
            </w:r>
            <w:r w:rsidR="00474ACC" w:rsidRPr="00BF7A15">
              <w:rPr>
                <w:sz w:val="15"/>
                <w:szCs w:val="15"/>
              </w:rPr>
              <w:t xml:space="preserve"> BX shopping centre</w:t>
            </w:r>
            <w:r>
              <w:rPr>
                <w:sz w:val="15"/>
                <w:szCs w:val="15"/>
              </w:rPr>
              <w:t xml:space="preserve"> and destination</w:t>
            </w:r>
            <w:r w:rsidR="00474ACC" w:rsidRPr="00BF7A15">
              <w:rPr>
                <w:sz w:val="15"/>
                <w:szCs w:val="15"/>
              </w:rPr>
              <w:t>; new Thameslink station</w:t>
            </w:r>
          </w:p>
        </w:tc>
      </w:tr>
      <w:tr w:rsidR="00BF7A15" w:rsidRPr="00474ACC" w14:paraId="035FE8DD" w14:textId="77777777" w:rsidTr="00EF1536">
        <w:trPr>
          <w:trHeight w:val="602"/>
        </w:trPr>
        <w:tc>
          <w:tcPr>
            <w:tcW w:w="1092" w:type="dxa"/>
            <w:tcBorders>
              <w:top w:val="single" w:sz="8" w:space="0" w:color="FF5000"/>
              <w:bottom w:val="single" w:sz="8" w:space="0" w:color="FF5000"/>
            </w:tcBorders>
            <w:vAlign w:val="center"/>
            <w:hideMark/>
          </w:tcPr>
          <w:p w14:paraId="7CB49C8A" w14:textId="77777777" w:rsidR="004D5706" w:rsidRDefault="00474ACC" w:rsidP="00FA2A8E">
            <w:pPr>
              <w:pStyle w:val="TableTitleInTable"/>
              <w:rPr>
                <w:b/>
                <w:color w:val="052D3F" w:themeColor="accent1"/>
                <w:sz w:val="16"/>
              </w:rPr>
            </w:pPr>
            <w:r w:rsidRPr="00810246">
              <w:rPr>
                <w:b/>
                <w:color w:val="052D3F" w:themeColor="accent1"/>
                <w:sz w:val="16"/>
              </w:rPr>
              <w:t xml:space="preserve">King’s </w:t>
            </w:r>
          </w:p>
          <w:p w14:paraId="3CB212CE" w14:textId="77777777" w:rsidR="004D5706" w:rsidRDefault="00474ACC" w:rsidP="00FA2A8E">
            <w:pPr>
              <w:pStyle w:val="TableTitleInTable"/>
              <w:rPr>
                <w:b/>
                <w:color w:val="052D3F" w:themeColor="accent1"/>
                <w:sz w:val="16"/>
              </w:rPr>
            </w:pPr>
            <w:r w:rsidRPr="00810246">
              <w:rPr>
                <w:b/>
                <w:color w:val="052D3F" w:themeColor="accent1"/>
                <w:sz w:val="16"/>
              </w:rPr>
              <w:t xml:space="preserve">Cross </w:t>
            </w:r>
          </w:p>
          <w:p w14:paraId="786149D1" w14:textId="1DE3F122" w:rsidR="00474ACC" w:rsidRPr="00810246" w:rsidRDefault="004D5706" w:rsidP="004D5706">
            <w:pPr>
              <w:pStyle w:val="TableTitleInTable"/>
              <w:rPr>
                <w:b/>
                <w:color w:val="052D3F" w:themeColor="accent1"/>
                <w:sz w:val="16"/>
                <w:lang w:val="en-US"/>
              </w:rPr>
            </w:pPr>
            <w:r>
              <w:rPr>
                <w:b/>
                <w:color w:val="052D3F" w:themeColor="accent1"/>
                <w:sz w:val="16"/>
              </w:rPr>
              <w:t xml:space="preserve">&amp; </w:t>
            </w:r>
            <w:r w:rsidR="00474ACC" w:rsidRPr="00810246">
              <w:rPr>
                <w:b/>
                <w:color w:val="052D3F" w:themeColor="accent1"/>
                <w:sz w:val="16"/>
              </w:rPr>
              <w:t>Euston</w:t>
            </w:r>
          </w:p>
        </w:tc>
        <w:tc>
          <w:tcPr>
            <w:tcW w:w="860" w:type="dxa"/>
            <w:tcBorders>
              <w:top w:val="single" w:sz="8" w:space="0" w:color="FF5000"/>
              <w:bottom w:val="single" w:sz="8" w:space="0" w:color="FF5000"/>
            </w:tcBorders>
            <w:vAlign w:val="center"/>
            <w:hideMark/>
          </w:tcPr>
          <w:p w14:paraId="4759BDA7" w14:textId="77777777" w:rsidR="00474ACC" w:rsidRPr="00FA2A8E" w:rsidRDefault="00474ACC" w:rsidP="00FA2A8E">
            <w:pPr>
              <w:pStyle w:val="TableTitleInTable"/>
              <w:jc w:val="center"/>
              <w:rPr>
                <w:color w:val="00B050"/>
                <w:sz w:val="18"/>
                <w:lang w:val="en-US"/>
              </w:rPr>
            </w:pPr>
            <w:r w:rsidRPr="00FA2A8E">
              <w:rPr>
                <w:color w:val="00B050"/>
                <w:sz w:val="18"/>
              </w:rPr>
              <w:t>+46%</w:t>
            </w:r>
          </w:p>
        </w:tc>
        <w:tc>
          <w:tcPr>
            <w:tcW w:w="1167" w:type="dxa"/>
            <w:tcBorders>
              <w:top w:val="single" w:sz="8" w:space="0" w:color="FF5000"/>
              <w:bottom w:val="single" w:sz="8" w:space="0" w:color="FF5000"/>
            </w:tcBorders>
            <w:vAlign w:val="center"/>
            <w:hideMark/>
          </w:tcPr>
          <w:p w14:paraId="58CD8AB4" w14:textId="77777777" w:rsidR="00474ACC" w:rsidRPr="00FA2A8E" w:rsidRDefault="00474ACC" w:rsidP="00FA2A8E">
            <w:pPr>
              <w:pStyle w:val="TableTitleInTable"/>
              <w:jc w:val="center"/>
              <w:rPr>
                <w:color w:val="00B050"/>
                <w:sz w:val="18"/>
                <w:lang w:val="en-US"/>
              </w:rPr>
            </w:pPr>
            <w:r w:rsidRPr="00FA2A8E">
              <w:rPr>
                <w:color w:val="00B050"/>
                <w:sz w:val="18"/>
              </w:rPr>
              <w:t>32%</w:t>
            </w:r>
          </w:p>
        </w:tc>
        <w:tc>
          <w:tcPr>
            <w:tcW w:w="1038" w:type="dxa"/>
            <w:tcBorders>
              <w:top w:val="single" w:sz="8" w:space="0" w:color="FF5000"/>
              <w:bottom w:val="single" w:sz="8" w:space="0" w:color="FF5000"/>
            </w:tcBorders>
            <w:vAlign w:val="center"/>
            <w:hideMark/>
          </w:tcPr>
          <w:p w14:paraId="604F0FD4" w14:textId="77777777" w:rsidR="00474ACC" w:rsidRPr="00FA2A8E" w:rsidRDefault="00474ACC" w:rsidP="00FA2A8E">
            <w:pPr>
              <w:pStyle w:val="TableTitleInTable"/>
              <w:jc w:val="center"/>
              <w:rPr>
                <w:color w:val="00B050"/>
                <w:sz w:val="18"/>
                <w:lang w:val="en-US"/>
              </w:rPr>
            </w:pPr>
            <w:r w:rsidRPr="00FA2A8E">
              <w:rPr>
                <w:color w:val="00B050"/>
                <w:sz w:val="18"/>
              </w:rPr>
              <w:t>1.9</w:t>
            </w:r>
          </w:p>
        </w:tc>
        <w:tc>
          <w:tcPr>
            <w:tcW w:w="1230" w:type="dxa"/>
            <w:tcBorders>
              <w:top w:val="single" w:sz="8" w:space="0" w:color="FF5000"/>
              <w:bottom w:val="single" w:sz="8" w:space="0" w:color="FF5000"/>
            </w:tcBorders>
            <w:vAlign w:val="center"/>
            <w:hideMark/>
          </w:tcPr>
          <w:p w14:paraId="541F1C32" w14:textId="77777777" w:rsidR="00474ACC" w:rsidRPr="00BF7A15" w:rsidRDefault="00474ACC" w:rsidP="00FA2A8E">
            <w:pPr>
              <w:pStyle w:val="TableTitleInTable"/>
              <w:rPr>
                <w:sz w:val="15"/>
                <w:szCs w:val="15"/>
                <w:lang w:val="en-US"/>
              </w:rPr>
            </w:pPr>
            <w:r w:rsidRPr="00BF7A15">
              <w:rPr>
                <w:sz w:val="15"/>
                <w:szCs w:val="15"/>
              </w:rPr>
              <w:t>4.3k homes; 63.5k jobs; Status: Maturing &amp; Ready to Grow</w:t>
            </w:r>
          </w:p>
        </w:tc>
        <w:tc>
          <w:tcPr>
            <w:tcW w:w="2317" w:type="dxa"/>
            <w:tcBorders>
              <w:top w:val="single" w:sz="8" w:space="0" w:color="FF5000"/>
              <w:bottom w:val="single" w:sz="8" w:space="0" w:color="FF5000"/>
            </w:tcBorders>
            <w:vAlign w:val="center"/>
            <w:hideMark/>
          </w:tcPr>
          <w:p w14:paraId="48897E62" w14:textId="2016CABB" w:rsidR="00474ACC" w:rsidRPr="00BF7A15" w:rsidRDefault="00474ACC" w:rsidP="00FA2A8E">
            <w:pPr>
              <w:pStyle w:val="TableTitleInTable"/>
              <w:rPr>
                <w:sz w:val="15"/>
                <w:szCs w:val="15"/>
                <w:lang w:val="en-US"/>
              </w:rPr>
            </w:pPr>
            <w:r w:rsidRPr="00BF7A15">
              <w:rPr>
                <w:sz w:val="15"/>
                <w:szCs w:val="15"/>
              </w:rPr>
              <w:t xml:space="preserve">Knowledge Quarter; KX has forged a </w:t>
            </w:r>
            <w:r w:rsidR="00CE2C53" w:rsidRPr="00BF7A15">
              <w:rPr>
                <w:sz w:val="15"/>
                <w:szCs w:val="15"/>
              </w:rPr>
              <w:t>strong</w:t>
            </w:r>
            <w:r w:rsidRPr="00BF7A15">
              <w:rPr>
                <w:sz w:val="15"/>
                <w:szCs w:val="15"/>
              </w:rPr>
              <w:t xml:space="preserve"> and identity based around quality of place </w:t>
            </w:r>
          </w:p>
        </w:tc>
        <w:tc>
          <w:tcPr>
            <w:tcW w:w="1708" w:type="dxa"/>
            <w:tcBorders>
              <w:top w:val="single" w:sz="8" w:space="0" w:color="FF5000"/>
              <w:bottom w:val="single" w:sz="8" w:space="0" w:color="FF5000"/>
            </w:tcBorders>
            <w:vAlign w:val="center"/>
            <w:hideMark/>
          </w:tcPr>
          <w:p w14:paraId="5DC255BC" w14:textId="77777777" w:rsidR="00474ACC" w:rsidRPr="00BF7A15" w:rsidRDefault="00474ACC" w:rsidP="00FA2A8E">
            <w:pPr>
              <w:pStyle w:val="TableTitleInTable"/>
              <w:rPr>
                <w:sz w:val="15"/>
                <w:szCs w:val="15"/>
                <w:lang w:val="en-US"/>
              </w:rPr>
            </w:pPr>
            <w:r w:rsidRPr="00BF7A15">
              <w:rPr>
                <w:sz w:val="15"/>
                <w:szCs w:val="15"/>
              </w:rPr>
              <w:t>Major business and research anchors; university; transport hubs; consumption offer</w:t>
            </w:r>
          </w:p>
        </w:tc>
      </w:tr>
      <w:tr w:rsidR="00BF7A15" w:rsidRPr="00474ACC" w14:paraId="40E44EDC" w14:textId="77777777" w:rsidTr="00EF1536">
        <w:trPr>
          <w:cnfStyle w:val="000000100000" w:firstRow="0" w:lastRow="0" w:firstColumn="0" w:lastColumn="0" w:oddVBand="0" w:evenVBand="0" w:oddHBand="1" w:evenHBand="0" w:firstRowFirstColumn="0" w:firstRowLastColumn="0" w:lastRowFirstColumn="0" w:lastRowLastColumn="0"/>
          <w:trHeight w:val="602"/>
        </w:trPr>
        <w:tc>
          <w:tcPr>
            <w:tcW w:w="1092" w:type="dxa"/>
            <w:tcBorders>
              <w:top w:val="single" w:sz="8" w:space="0" w:color="FF5000"/>
              <w:bottom w:val="single" w:sz="8" w:space="0" w:color="FF5000"/>
            </w:tcBorders>
            <w:vAlign w:val="center"/>
            <w:hideMark/>
          </w:tcPr>
          <w:p w14:paraId="5A1386B0" w14:textId="77777777" w:rsidR="004D5706" w:rsidRDefault="00474ACC" w:rsidP="00FA2A8E">
            <w:pPr>
              <w:pStyle w:val="TableTitleInTable"/>
              <w:rPr>
                <w:b/>
                <w:color w:val="052D3F" w:themeColor="accent1"/>
                <w:sz w:val="16"/>
              </w:rPr>
            </w:pPr>
            <w:r w:rsidRPr="00810246">
              <w:rPr>
                <w:b/>
                <w:color w:val="052D3F" w:themeColor="accent1"/>
                <w:sz w:val="16"/>
              </w:rPr>
              <w:t xml:space="preserve">Olympic </w:t>
            </w:r>
          </w:p>
          <w:p w14:paraId="1175186A" w14:textId="166FCCE1" w:rsidR="00474ACC" w:rsidRPr="00810246" w:rsidRDefault="00474ACC" w:rsidP="00FA2A8E">
            <w:pPr>
              <w:pStyle w:val="TableTitleInTable"/>
              <w:rPr>
                <w:b/>
                <w:color w:val="052D3F" w:themeColor="accent1"/>
                <w:sz w:val="16"/>
                <w:lang w:val="en-US"/>
              </w:rPr>
            </w:pPr>
            <w:r w:rsidRPr="00810246">
              <w:rPr>
                <w:b/>
                <w:color w:val="052D3F" w:themeColor="accent1"/>
                <w:sz w:val="16"/>
              </w:rPr>
              <w:t>Legacy</w:t>
            </w:r>
          </w:p>
        </w:tc>
        <w:tc>
          <w:tcPr>
            <w:tcW w:w="860" w:type="dxa"/>
            <w:tcBorders>
              <w:top w:val="single" w:sz="8" w:space="0" w:color="FF5000"/>
              <w:bottom w:val="single" w:sz="8" w:space="0" w:color="FF5000"/>
            </w:tcBorders>
            <w:vAlign w:val="center"/>
            <w:hideMark/>
          </w:tcPr>
          <w:p w14:paraId="543661D7" w14:textId="77777777" w:rsidR="00474ACC" w:rsidRPr="00FA2A8E" w:rsidRDefault="00474ACC" w:rsidP="00FA2A8E">
            <w:pPr>
              <w:pStyle w:val="TableTitleInTable"/>
              <w:jc w:val="center"/>
              <w:rPr>
                <w:color w:val="00B050"/>
                <w:sz w:val="18"/>
                <w:lang w:val="en-US"/>
              </w:rPr>
            </w:pPr>
            <w:r w:rsidRPr="00FA2A8E">
              <w:rPr>
                <w:color w:val="00B050"/>
                <w:sz w:val="18"/>
              </w:rPr>
              <w:t>+32%</w:t>
            </w:r>
          </w:p>
        </w:tc>
        <w:tc>
          <w:tcPr>
            <w:tcW w:w="1167" w:type="dxa"/>
            <w:tcBorders>
              <w:top w:val="single" w:sz="8" w:space="0" w:color="FF5000"/>
              <w:bottom w:val="single" w:sz="8" w:space="0" w:color="FF5000"/>
            </w:tcBorders>
            <w:vAlign w:val="center"/>
            <w:hideMark/>
          </w:tcPr>
          <w:p w14:paraId="45544BF3" w14:textId="77777777" w:rsidR="00474ACC" w:rsidRPr="00FA2A8E" w:rsidRDefault="00474ACC" w:rsidP="00FA2A8E">
            <w:pPr>
              <w:pStyle w:val="TableTitleInTable"/>
              <w:jc w:val="center"/>
              <w:rPr>
                <w:color w:val="00B050"/>
                <w:sz w:val="18"/>
                <w:lang w:val="en-US"/>
              </w:rPr>
            </w:pPr>
            <w:r w:rsidRPr="00FA2A8E">
              <w:rPr>
                <w:color w:val="00B050"/>
                <w:sz w:val="18"/>
              </w:rPr>
              <w:t>15%</w:t>
            </w:r>
          </w:p>
        </w:tc>
        <w:tc>
          <w:tcPr>
            <w:tcW w:w="1038" w:type="dxa"/>
            <w:tcBorders>
              <w:top w:val="single" w:sz="8" w:space="0" w:color="FF5000"/>
              <w:bottom w:val="single" w:sz="8" w:space="0" w:color="FF5000"/>
            </w:tcBorders>
            <w:vAlign w:val="center"/>
            <w:hideMark/>
          </w:tcPr>
          <w:p w14:paraId="4DF270C2" w14:textId="77777777" w:rsidR="00474ACC" w:rsidRPr="00FA2A8E" w:rsidRDefault="00474ACC" w:rsidP="00FA2A8E">
            <w:pPr>
              <w:pStyle w:val="TableTitleInTable"/>
              <w:jc w:val="center"/>
              <w:rPr>
                <w:sz w:val="18"/>
                <w:lang w:val="en-US"/>
              </w:rPr>
            </w:pPr>
            <w:r w:rsidRPr="00FA2A8E">
              <w:rPr>
                <w:color w:val="FFB999" w:themeColor="accent6" w:themeTint="66"/>
                <w:sz w:val="18"/>
              </w:rPr>
              <w:t>0.4</w:t>
            </w:r>
          </w:p>
        </w:tc>
        <w:tc>
          <w:tcPr>
            <w:tcW w:w="1230" w:type="dxa"/>
            <w:tcBorders>
              <w:top w:val="single" w:sz="8" w:space="0" w:color="FF5000"/>
              <w:bottom w:val="single" w:sz="8" w:space="0" w:color="FF5000"/>
            </w:tcBorders>
            <w:vAlign w:val="center"/>
            <w:hideMark/>
          </w:tcPr>
          <w:p w14:paraId="68DCA741" w14:textId="77777777" w:rsidR="00474ACC" w:rsidRPr="00BF7A15" w:rsidRDefault="00474ACC" w:rsidP="00FA2A8E">
            <w:pPr>
              <w:pStyle w:val="TableTitleInTable"/>
              <w:rPr>
                <w:sz w:val="15"/>
                <w:szCs w:val="15"/>
                <w:lang w:val="en-US"/>
              </w:rPr>
            </w:pPr>
            <w:r w:rsidRPr="00BF7A15">
              <w:rPr>
                <w:sz w:val="15"/>
                <w:szCs w:val="15"/>
              </w:rPr>
              <w:t>39k homes; 65k jobs; Status: Maturing</w:t>
            </w:r>
          </w:p>
        </w:tc>
        <w:tc>
          <w:tcPr>
            <w:tcW w:w="2317" w:type="dxa"/>
            <w:tcBorders>
              <w:top w:val="single" w:sz="8" w:space="0" w:color="FF5000"/>
              <w:bottom w:val="single" w:sz="8" w:space="0" w:color="FF5000"/>
            </w:tcBorders>
            <w:vAlign w:val="center"/>
            <w:hideMark/>
          </w:tcPr>
          <w:p w14:paraId="74094E37" w14:textId="547A8B71" w:rsidR="00474ACC" w:rsidRPr="00BF7A15" w:rsidRDefault="00474ACC" w:rsidP="00FA2A8E">
            <w:pPr>
              <w:pStyle w:val="TableTitleInTable"/>
              <w:rPr>
                <w:sz w:val="15"/>
                <w:szCs w:val="15"/>
                <w:lang w:val="en-US"/>
              </w:rPr>
            </w:pPr>
            <w:r w:rsidRPr="00BF7A15">
              <w:rPr>
                <w:sz w:val="15"/>
                <w:szCs w:val="15"/>
              </w:rPr>
              <w:t xml:space="preserve">Clear identity founded on Olympic Legacy, </w:t>
            </w:r>
            <w:r w:rsidR="00332737" w:rsidRPr="00BF7A15">
              <w:rPr>
                <w:sz w:val="15"/>
                <w:szCs w:val="15"/>
              </w:rPr>
              <w:t>and emerging</w:t>
            </w:r>
            <w:r w:rsidRPr="00BF7A15">
              <w:rPr>
                <w:sz w:val="15"/>
                <w:szCs w:val="15"/>
              </w:rPr>
              <w:t xml:space="preserve"> East Bank concept</w:t>
            </w:r>
          </w:p>
        </w:tc>
        <w:tc>
          <w:tcPr>
            <w:tcW w:w="1708" w:type="dxa"/>
            <w:tcBorders>
              <w:top w:val="single" w:sz="8" w:space="0" w:color="FF5000"/>
              <w:bottom w:val="single" w:sz="8" w:space="0" w:color="FF5000"/>
            </w:tcBorders>
            <w:vAlign w:val="center"/>
            <w:hideMark/>
          </w:tcPr>
          <w:p w14:paraId="240A7983" w14:textId="77777777" w:rsidR="00474ACC" w:rsidRPr="00BF7A15" w:rsidRDefault="00474ACC" w:rsidP="00FA2A8E">
            <w:pPr>
              <w:pStyle w:val="TableTitleInTable"/>
              <w:rPr>
                <w:sz w:val="15"/>
                <w:szCs w:val="15"/>
                <w:lang w:val="en-US"/>
              </w:rPr>
            </w:pPr>
            <w:r w:rsidRPr="00BF7A15">
              <w:rPr>
                <w:sz w:val="15"/>
                <w:szCs w:val="15"/>
              </w:rPr>
              <w:t>Major HE presence, major cultural anchors, emerging commercial anchors; significant consumption and recreation assets</w:t>
            </w:r>
          </w:p>
        </w:tc>
      </w:tr>
      <w:tr w:rsidR="00BF7A15" w:rsidRPr="00474ACC" w14:paraId="6B9755CE" w14:textId="77777777" w:rsidTr="00EF1536">
        <w:trPr>
          <w:trHeight w:val="602"/>
        </w:trPr>
        <w:tc>
          <w:tcPr>
            <w:tcW w:w="1092" w:type="dxa"/>
            <w:tcBorders>
              <w:top w:val="single" w:sz="8" w:space="0" w:color="FF5000"/>
              <w:bottom w:val="single" w:sz="8" w:space="0" w:color="FF5000"/>
            </w:tcBorders>
            <w:vAlign w:val="center"/>
            <w:hideMark/>
          </w:tcPr>
          <w:p w14:paraId="30757B35" w14:textId="77777777" w:rsidR="004D5706" w:rsidRDefault="00474ACC" w:rsidP="00FA2A8E">
            <w:pPr>
              <w:pStyle w:val="TableTitleInTable"/>
              <w:rPr>
                <w:b/>
                <w:color w:val="052D3F" w:themeColor="accent1"/>
                <w:sz w:val="16"/>
              </w:rPr>
            </w:pPr>
            <w:r w:rsidRPr="00810246">
              <w:rPr>
                <w:b/>
                <w:color w:val="052D3F" w:themeColor="accent1"/>
                <w:sz w:val="16"/>
              </w:rPr>
              <w:t xml:space="preserve">Isle </w:t>
            </w:r>
          </w:p>
          <w:p w14:paraId="11B23793" w14:textId="759000A4" w:rsidR="00474ACC" w:rsidRPr="00810246" w:rsidRDefault="00474ACC" w:rsidP="00FA2A8E">
            <w:pPr>
              <w:pStyle w:val="TableTitleInTable"/>
              <w:rPr>
                <w:b/>
                <w:color w:val="052D3F" w:themeColor="accent1"/>
                <w:sz w:val="16"/>
                <w:lang w:val="en-US"/>
              </w:rPr>
            </w:pPr>
            <w:r w:rsidRPr="00810246">
              <w:rPr>
                <w:b/>
                <w:color w:val="052D3F" w:themeColor="accent1"/>
                <w:sz w:val="16"/>
              </w:rPr>
              <w:t>of Dogs</w:t>
            </w:r>
          </w:p>
        </w:tc>
        <w:tc>
          <w:tcPr>
            <w:tcW w:w="860" w:type="dxa"/>
            <w:tcBorders>
              <w:top w:val="single" w:sz="8" w:space="0" w:color="FF5000"/>
              <w:bottom w:val="single" w:sz="8" w:space="0" w:color="FF5000"/>
            </w:tcBorders>
            <w:vAlign w:val="center"/>
            <w:hideMark/>
          </w:tcPr>
          <w:p w14:paraId="7D0ABA38" w14:textId="77777777" w:rsidR="00474ACC" w:rsidRPr="00FA2A8E" w:rsidRDefault="00474ACC" w:rsidP="00FA2A8E">
            <w:pPr>
              <w:pStyle w:val="TableTitleInTable"/>
              <w:jc w:val="center"/>
              <w:rPr>
                <w:color w:val="00B050"/>
                <w:sz w:val="18"/>
                <w:lang w:val="en-US"/>
              </w:rPr>
            </w:pPr>
            <w:r w:rsidRPr="00FA2A8E">
              <w:rPr>
                <w:color w:val="00B050"/>
                <w:sz w:val="18"/>
              </w:rPr>
              <w:t>+20%</w:t>
            </w:r>
          </w:p>
        </w:tc>
        <w:tc>
          <w:tcPr>
            <w:tcW w:w="1167" w:type="dxa"/>
            <w:tcBorders>
              <w:top w:val="single" w:sz="8" w:space="0" w:color="FF5000"/>
              <w:bottom w:val="single" w:sz="8" w:space="0" w:color="FF5000"/>
            </w:tcBorders>
            <w:vAlign w:val="center"/>
            <w:hideMark/>
          </w:tcPr>
          <w:p w14:paraId="1F9702E9" w14:textId="77777777" w:rsidR="00474ACC" w:rsidRPr="00FA2A8E" w:rsidRDefault="00474ACC" w:rsidP="00FA2A8E">
            <w:pPr>
              <w:pStyle w:val="TableTitleInTable"/>
              <w:jc w:val="center"/>
              <w:rPr>
                <w:color w:val="00B050"/>
                <w:sz w:val="18"/>
                <w:lang w:val="en-US"/>
              </w:rPr>
            </w:pPr>
            <w:r w:rsidRPr="00FA2A8E">
              <w:rPr>
                <w:color w:val="00B050"/>
                <w:sz w:val="18"/>
              </w:rPr>
              <w:t>66%</w:t>
            </w:r>
          </w:p>
        </w:tc>
        <w:tc>
          <w:tcPr>
            <w:tcW w:w="1038" w:type="dxa"/>
            <w:tcBorders>
              <w:top w:val="single" w:sz="8" w:space="0" w:color="FF5000"/>
              <w:bottom w:val="single" w:sz="8" w:space="0" w:color="FF5000"/>
            </w:tcBorders>
            <w:vAlign w:val="center"/>
            <w:hideMark/>
          </w:tcPr>
          <w:p w14:paraId="7F577530" w14:textId="77777777" w:rsidR="00474ACC" w:rsidRPr="00FA2A8E" w:rsidRDefault="00474ACC" w:rsidP="00FA2A8E">
            <w:pPr>
              <w:pStyle w:val="TableTitleInTable"/>
              <w:jc w:val="center"/>
              <w:rPr>
                <w:color w:val="00B050"/>
                <w:sz w:val="18"/>
                <w:lang w:val="en-US"/>
              </w:rPr>
            </w:pPr>
            <w:r w:rsidRPr="00FA2A8E">
              <w:rPr>
                <w:color w:val="00B050"/>
                <w:sz w:val="18"/>
              </w:rPr>
              <w:t>2.6</w:t>
            </w:r>
          </w:p>
        </w:tc>
        <w:tc>
          <w:tcPr>
            <w:tcW w:w="1230" w:type="dxa"/>
            <w:tcBorders>
              <w:top w:val="single" w:sz="8" w:space="0" w:color="FF5000"/>
              <w:bottom w:val="single" w:sz="8" w:space="0" w:color="FF5000"/>
            </w:tcBorders>
            <w:vAlign w:val="center"/>
            <w:hideMark/>
          </w:tcPr>
          <w:p w14:paraId="5937BCC1" w14:textId="77777777" w:rsidR="00474ACC" w:rsidRPr="00BF7A15" w:rsidRDefault="00474ACC" w:rsidP="00FA2A8E">
            <w:pPr>
              <w:pStyle w:val="TableTitleInTable"/>
              <w:rPr>
                <w:sz w:val="15"/>
                <w:szCs w:val="15"/>
                <w:lang w:val="en-US"/>
              </w:rPr>
            </w:pPr>
            <w:r w:rsidRPr="00BF7A15">
              <w:rPr>
                <w:sz w:val="15"/>
                <w:szCs w:val="15"/>
              </w:rPr>
              <w:t>29k jobs; 110k jobs; Status: Underway</w:t>
            </w:r>
          </w:p>
        </w:tc>
        <w:tc>
          <w:tcPr>
            <w:tcW w:w="2317" w:type="dxa"/>
            <w:tcBorders>
              <w:top w:val="single" w:sz="8" w:space="0" w:color="FF5000"/>
              <w:bottom w:val="single" w:sz="8" w:space="0" w:color="FF5000"/>
            </w:tcBorders>
            <w:vAlign w:val="center"/>
            <w:hideMark/>
          </w:tcPr>
          <w:p w14:paraId="4A511DF1" w14:textId="0B42BF3E" w:rsidR="00474ACC" w:rsidRPr="00BF7A15" w:rsidRDefault="00474ACC" w:rsidP="00FA2A8E">
            <w:pPr>
              <w:pStyle w:val="TableTitleInTable"/>
              <w:rPr>
                <w:sz w:val="15"/>
                <w:szCs w:val="15"/>
                <w:lang w:val="en-US"/>
              </w:rPr>
            </w:pPr>
            <w:r w:rsidRPr="00BF7A15">
              <w:rPr>
                <w:sz w:val="15"/>
                <w:szCs w:val="15"/>
              </w:rPr>
              <w:t xml:space="preserve">established identity as heart of London’s financial service sector; weaker </w:t>
            </w:r>
            <w:r w:rsidR="00332737" w:rsidRPr="00BF7A15">
              <w:rPr>
                <w:sz w:val="15"/>
                <w:szCs w:val="15"/>
              </w:rPr>
              <w:t>‘place</w:t>
            </w:r>
            <w:r w:rsidRPr="00BF7A15">
              <w:rPr>
                <w:sz w:val="15"/>
                <w:szCs w:val="15"/>
              </w:rPr>
              <w:t>’ identity</w:t>
            </w:r>
          </w:p>
          <w:p w14:paraId="24F67A9F" w14:textId="77777777" w:rsidR="00474ACC" w:rsidRPr="00BF7A15" w:rsidRDefault="00474ACC" w:rsidP="00FA2A8E">
            <w:pPr>
              <w:pStyle w:val="TableTitleInTable"/>
              <w:rPr>
                <w:sz w:val="15"/>
                <w:szCs w:val="15"/>
                <w:lang w:val="en-US"/>
              </w:rPr>
            </w:pPr>
            <w:r w:rsidRPr="00BF7A15">
              <w:rPr>
                <w:sz w:val="15"/>
                <w:szCs w:val="15"/>
              </w:rPr>
              <w:t>Focus: financial &amp; professional; global corporates</w:t>
            </w:r>
          </w:p>
        </w:tc>
        <w:tc>
          <w:tcPr>
            <w:tcW w:w="1708" w:type="dxa"/>
            <w:tcBorders>
              <w:top w:val="single" w:sz="8" w:space="0" w:color="FF5000"/>
              <w:bottom w:val="single" w:sz="8" w:space="0" w:color="FF5000"/>
            </w:tcBorders>
            <w:vAlign w:val="center"/>
            <w:hideMark/>
          </w:tcPr>
          <w:p w14:paraId="1ECAF7F6" w14:textId="77777777" w:rsidR="00474ACC" w:rsidRPr="00BF7A15" w:rsidRDefault="00474ACC" w:rsidP="00FA2A8E">
            <w:pPr>
              <w:pStyle w:val="TableTitleInTable"/>
              <w:rPr>
                <w:sz w:val="15"/>
                <w:szCs w:val="15"/>
                <w:lang w:val="en-US"/>
              </w:rPr>
            </w:pPr>
            <w:r w:rsidRPr="00BF7A15">
              <w:rPr>
                <w:sz w:val="15"/>
                <w:szCs w:val="15"/>
              </w:rPr>
              <w:t>Existing financial and professional agglomeration; major retail offer; connection</w:t>
            </w:r>
          </w:p>
        </w:tc>
      </w:tr>
      <w:tr w:rsidR="00BF7A15" w:rsidRPr="00474ACC" w14:paraId="3B305CAB" w14:textId="77777777" w:rsidTr="00EF1536">
        <w:trPr>
          <w:cnfStyle w:val="000000100000" w:firstRow="0" w:lastRow="0" w:firstColumn="0" w:lastColumn="0" w:oddVBand="0" w:evenVBand="0" w:oddHBand="1" w:evenHBand="0" w:firstRowFirstColumn="0" w:firstRowLastColumn="0" w:lastRowFirstColumn="0" w:lastRowLastColumn="0"/>
          <w:trHeight w:val="451"/>
        </w:trPr>
        <w:tc>
          <w:tcPr>
            <w:tcW w:w="1092" w:type="dxa"/>
            <w:tcBorders>
              <w:top w:val="single" w:sz="8" w:space="0" w:color="FF5000"/>
              <w:bottom w:val="single" w:sz="8" w:space="0" w:color="FF5000"/>
            </w:tcBorders>
            <w:vAlign w:val="center"/>
            <w:hideMark/>
          </w:tcPr>
          <w:p w14:paraId="27C3BDF1" w14:textId="77777777" w:rsidR="00474ACC" w:rsidRPr="00810246" w:rsidRDefault="00474ACC" w:rsidP="00FA2A8E">
            <w:pPr>
              <w:pStyle w:val="TableTitleInTable"/>
              <w:rPr>
                <w:b/>
                <w:color w:val="052D3F" w:themeColor="accent1"/>
                <w:sz w:val="16"/>
                <w:lang w:val="en-US"/>
              </w:rPr>
            </w:pPr>
            <w:r w:rsidRPr="00810246">
              <w:rPr>
                <w:b/>
                <w:color w:val="052D3F" w:themeColor="accent1"/>
                <w:sz w:val="16"/>
              </w:rPr>
              <w:t>Greenwich Peninsula</w:t>
            </w:r>
          </w:p>
        </w:tc>
        <w:tc>
          <w:tcPr>
            <w:tcW w:w="860" w:type="dxa"/>
            <w:tcBorders>
              <w:top w:val="single" w:sz="8" w:space="0" w:color="FF5000"/>
              <w:bottom w:val="single" w:sz="8" w:space="0" w:color="FF5000"/>
            </w:tcBorders>
            <w:vAlign w:val="center"/>
            <w:hideMark/>
          </w:tcPr>
          <w:p w14:paraId="1B5A9501" w14:textId="77777777" w:rsidR="00474ACC" w:rsidRPr="00FA2A8E" w:rsidRDefault="00474ACC" w:rsidP="00FA2A8E">
            <w:pPr>
              <w:pStyle w:val="TableTitleInTable"/>
              <w:jc w:val="center"/>
              <w:rPr>
                <w:color w:val="00B050"/>
                <w:sz w:val="18"/>
                <w:lang w:val="en-US"/>
              </w:rPr>
            </w:pPr>
            <w:r w:rsidRPr="00FA2A8E">
              <w:rPr>
                <w:color w:val="00B050"/>
                <w:sz w:val="18"/>
              </w:rPr>
              <w:t>+20%</w:t>
            </w:r>
          </w:p>
        </w:tc>
        <w:tc>
          <w:tcPr>
            <w:tcW w:w="1167" w:type="dxa"/>
            <w:tcBorders>
              <w:top w:val="single" w:sz="8" w:space="0" w:color="FF5000"/>
              <w:bottom w:val="single" w:sz="8" w:space="0" w:color="FF5000"/>
            </w:tcBorders>
            <w:vAlign w:val="center"/>
            <w:hideMark/>
          </w:tcPr>
          <w:p w14:paraId="7D1301A7" w14:textId="77777777" w:rsidR="00474ACC" w:rsidRPr="00FA2A8E" w:rsidRDefault="00474ACC" w:rsidP="00FA2A8E">
            <w:pPr>
              <w:pStyle w:val="TableTitleInTable"/>
              <w:jc w:val="center"/>
              <w:rPr>
                <w:sz w:val="18"/>
                <w:lang w:val="en-US"/>
              </w:rPr>
            </w:pPr>
            <w:r w:rsidRPr="00FA2A8E">
              <w:rPr>
                <w:color w:val="FFB999" w:themeColor="accent6" w:themeTint="66"/>
                <w:sz w:val="18"/>
              </w:rPr>
              <w:t>11%</w:t>
            </w:r>
          </w:p>
        </w:tc>
        <w:tc>
          <w:tcPr>
            <w:tcW w:w="1038" w:type="dxa"/>
            <w:tcBorders>
              <w:top w:val="single" w:sz="8" w:space="0" w:color="FF5000"/>
              <w:bottom w:val="single" w:sz="8" w:space="0" w:color="FF5000"/>
            </w:tcBorders>
            <w:vAlign w:val="center"/>
            <w:hideMark/>
          </w:tcPr>
          <w:p w14:paraId="5D337002" w14:textId="77777777" w:rsidR="00474ACC" w:rsidRPr="00FA2A8E" w:rsidRDefault="00474ACC" w:rsidP="00FA2A8E">
            <w:pPr>
              <w:pStyle w:val="TableTitleInTable"/>
              <w:jc w:val="center"/>
              <w:rPr>
                <w:sz w:val="18"/>
                <w:lang w:val="en-US"/>
              </w:rPr>
            </w:pPr>
            <w:r w:rsidRPr="00FA2A8E">
              <w:rPr>
                <w:color w:val="00B050"/>
                <w:sz w:val="18"/>
              </w:rPr>
              <w:t>1.2</w:t>
            </w:r>
          </w:p>
        </w:tc>
        <w:tc>
          <w:tcPr>
            <w:tcW w:w="1230" w:type="dxa"/>
            <w:tcBorders>
              <w:top w:val="single" w:sz="8" w:space="0" w:color="FF5000"/>
              <w:bottom w:val="single" w:sz="8" w:space="0" w:color="FF5000"/>
            </w:tcBorders>
            <w:vAlign w:val="center"/>
            <w:hideMark/>
          </w:tcPr>
          <w:p w14:paraId="195CDECF" w14:textId="77777777" w:rsidR="00474ACC" w:rsidRPr="00BF7A15" w:rsidRDefault="00474ACC" w:rsidP="00FA2A8E">
            <w:pPr>
              <w:pStyle w:val="TableTitleInTable"/>
              <w:rPr>
                <w:sz w:val="15"/>
                <w:szCs w:val="15"/>
                <w:lang w:val="en-US"/>
              </w:rPr>
            </w:pPr>
            <w:r w:rsidRPr="00BF7A15">
              <w:rPr>
                <w:sz w:val="15"/>
                <w:szCs w:val="15"/>
              </w:rPr>
              <w:t>Growth Potential: 17k &amp; 15k; Status: Maturing</w:t>
            </w:r>
          </w:p>
        </w:tc>
        <w:tc>
          <w:tcPr>
            <w:tcW w:w="2317" w:type="dxa"/>
            <w:tcBorders>
              <w:top w:val="single" w:sz="8" w:space="0" w:color="FF5000"/>
              <w:bottom w:val="single" w:sz="8" w:space="0" w:color="FF5000"/>
            </w:tcBorders>
            <w:vAlign w:val="center"/>
            <w:hideMark/>
          </w:tcPr>
          <w:p w14:paraId="1ADC7C20" w14:textId="77777777" w:rsidR="00474ACC" w:rsidRPr="00BF7A15" w:rsidRDefault="00474ACC" w:rsidP="00FA2A8E">
            <w:pPr>
              <w:pStyle w:val="TableTitleInTable"/>
              <w:rPr>
                <w:sz w:val="15"/>
                <w:szCs w:val="15"/>
                <w:lang w:val="en-US"/>
              </w:rPr>
            </w:pPr>
            <w:r w:rsidRPr="00BF7A15">
              <w:rPr>
                <w:sz w:val="15"/>
                <w:szCs w:val="15"/>
              </w:rPr>
              <w:t>Focus: creative activities and design</w:t>
            </w:r>
          </w:p>
          <w:p w14:paraId="179291B2" w14:textId="77777777" w:rsidR="00474ACC" w:rsidRPr="00BF7A15" w:rsidRDefault="00474ACC" w:rsidP="00FA2A8E">
            <w:pPr>
              <w:pStyle w:val="TableTitleInTable"/>
              <w:rPr>
                <w:sz w:val="15"/>
                <w:szCs w:val="15"/>
                <w:lang w:val="en-US"/>
              </w:rPr>
            </w:pPr>
            <w:r w:rsidRPr="00BF7A15">
              <w:rPr>
                <w:sz w:val="15"/>
                <w:szCs w:val="15"/>
              </w:rPr>
              <w:t>Identity: clear identity emerging around concept of Design District</w:t>
            </w:r>
          </w:p>
        </w:tc>
        <w:tc>
          <w:tcPr>
            <w:tcW w:w="1708" w:type="dxa"/>
            <w:tcBorders>
              <w:top w:val="single" w:sz="8" w:space="0" w:color="FF5000"/>
              <w:bottom w:val="single" w:sz="8" w:space="0" w:color="FF5000"/>
            </w:tcBorders>
            <w:vAlign w:val="center"/>
            <w:hideMark/>
          </w:tcPr>
          <w:p w14:paraId="6CEC2ABC" w14:textId="77777777" w:rsidR="00474ACC" w:rsidRPr="00BF7A15" w:rsidRDefault="00474ACC" w:rsidP="00FA2A8E">
            <w:pPr>
              <w:pStyle w:val="TableTitleInTable"/>
              <w:rPr>
                <w:sz w:val="15"/>
                <w:szCs w:val="15"/>
                <w:lang w:val="en-US"/>
              </w:rPr>
            </w:pPr>
            <w:r w:rsidRPr="00BF7A15">
              <w:rPr>
                <w:sz w:val="15"/>
                <w:szCs w:val="15"/>
              </w:rPr>
              <w:t>Established cultural consumption offer (O2) &amp; identity; wider economy relatively nascent</w:t>
            </w:r>
          </w:p>
        </w:tc>
      </w:tr>
      <w:tr w:rsidR="00BF7A15" w:rsidRPr="00474ACC" w14:paraId="004B58BD" w14:textId="77777777" w:rsidTr="00EF1536">
        <w:trPr>
          <w:trHeight w:val="451"/>
        </w:trPr>
        <w:tc>
          <w:tcPr>
            <w:tcW w:w="1092" w:type="dxa"/>
            <w:tcBorders>
              <w:top w:val="single" w:sz="8" w:space="0" w:color="FF5000"/>
              <w:bottom w:val="single" w:sz="8" w:space="0" w:color="FF5000"/>
            </w:tcBorders>
            <w:vAlign w:val="center"/>
            <w:hideMark/>
          </w:tcPr>
          <w:p w14:paraId="39B99FC2" w14:textId="77777777" w:rsidR="004D5706" w:rsidRDefault="00474ACC" w:rsidP="00FA2A8E">
            <w:pPr>
              <w:pStyle w:val="TableTitleInTable"/>
              <w:rPr>
                <w:b/>
                <w:color w:val="052D3F" w:themeColor="accent1"/>
                <w:sz w:val="16"/>
              </w:rPr>
            </w:pPr>
            <w:r w:rsidRPr="00810246">
              <w:rPr>
                <w:b/>
                <w:color w:val="052D3F" w:themeColor="accent1"/>
                <w:sz w:val="16"/>
              </w:rPr>
              <w:t xml:space="preserve">Canada </w:t>
            </w:r>
          </w:p>
          <w:p w14:paraId="495FD507" w14:textId="754D8379" w:rsidR="00474ACC" w:rsidRPr="00810246" w:rsidRDefault="00474ACC" w:rsidP="00FA2A8E">
            <w:pPr>
              <w:pStyle w:val="TableTitleInTable"/>
              <w:rPr>
                <w:b/>
                <w:color w:val="052D3F" w:themeColor="accent1"/>
                <w:sz w:val="16"/>
                <w:lang w:val="en-US"/>
              </w:rPr>
            </w:pPr>
            <w:r w:rsidRPr="00810246">
              <w:rPr>
                <w:b/>
                <w:color w:val="052D3F" w:themeColor="accent1"/>
                <w:sz w:val="16"/>
              </w:rPr>
              <w:t>Water</w:t>
            </w:r>
          </w:p>
        </w:tc>
        <w:tc>
          <w:tcPr>
            <w:tcW w:w="860" w:type="dxa"/>
            <w:tcBorders>
              <w:top w:val="single" w:sz="8" w:space="0" w:color="FF5000"/>
              <w:bottom w:val="single" w:sz="8" w:space="0" w:color="FF5000"/>
            </w:tcBorders>
            <w:vAlign w:val="center"/>
            <w:hideMark/>
          </w:tcPr>
          <w:p w14:paraId="7C7C3D43" w14:textId="77777777" w:rsidR="00474ACC" w:rsidRPr="00FA2A8E" w:rsidRDefault="00474ACC" w:rsidP="00FA2A8E">
            <w:pPr>
              <w:pStyle w:val="TableTitleInTable"/>
              <w:jc w:val="center"/>
              <w:rPr>
                <w:color w:val="C00000"/>
                <w:sz w:val="18"/>
                <w:lang w:val="en-US"/>
              </w:rPr>
            </w:pPr>
            <w:r w:rsidRPr="00FA2A8E">
              <w:rPr>
                <w:color w:val="C00000"/>
                <w:sz w:val="18"/>
              </w:rPr>
              <w:t>-30%</w:t>
            </w:r>
          </w:p>
        </w:tc>
        <w:tc>
          <w:tcPr>
            <w:tcW w:w="1167" w:type="dxa"/>
            <w:tcBorders>
              <w:top w:val="single" w:sz="8" w:space="0" w:color="FF5000"/>
              <w:bottom w:val="single" w:sz="8" w:space="0" w:color="FF5000"/>
            </w:tcBorders>
            <w:vAlign w:val="center"/>
            <w:hideMark/>
          </w:tcPr>
          <w:p w14:paraId="45473DBB" w14:textId="77777777" w:rsidR="00474ACC" w:rsidRPr="00FA2A8E" w:rsidRDefault="00474ACC" w:rsidP="00FA2A8E">
            <w:pPr>
              <w:pStyle w:val="TableTitleInTable"/>
              <w:jc w:val="center"/>
              <w:rPr>
                <w:color w:val="00B050"/>
                <w:sz w:val="18"/>
                <w:lang w:val="en-US"/>
              </w:rPr>
            </w:pPr>
            <w:r w:rsidRPr="00FA2A8E">
              <w:rPr>
                <w:color w:val="00B050"/>
                <w:sz w:val="18"/>
              </w:rPr>
              <w:t>13%</w:t>
            </w:r>
          </w:p>
        </w:tc>
        <w:tc>
          <w:tcPr>
            <w:tcW w:w="1038" w:type="dxa"/>
            <w:tcBorders>
              <w:top w:val="single" w:sz="8" w:space="0" w:color="FF5000"/>
              <w:bottom w:val="single" w:sz="8" w:space="0" w:color="FF5000"/>
            </w:tcBorders>
            <w:vAlign w:val="center"/>
            <w:hideMark/>
          </w:tcPr>
          <w:p w14:paraId="59181BA7" w14:textId="77777777" w:rsidR="00474ACC" w:rsidRPr="00FA2A8E" w:rsidRDefault="00474ACC" w:rsidP="00FA2A8E">
            <w:pPr>
              <w:pStyle w:val="TableTitleInTable"/>
              <w:jc w:val="center"/>
              <w:rPr>
                <w:color w:val="00B050"/>
                <w:sz w:val="18"/>
                <w:lang w:val="en-US"/>
              </w:rPr>
            </w:pPr>
            <w:r w:rsidRPr="00FA2A8E">
              <w:rPr>
                <w:color w:val="00B050"/>
                <w:sz w:val="18"/>
              </w:rPr>
              <w:t>0.6</w:t>
            </w:r>
          </w:p>
        </w:tc>
        <w:tc>
          <w:tcPr>
            <w:tcW w:w="1230" w:type="dxa"/>
            <w:tcBorders>
              <w:top w:val="single" w:sz="8" w:space="0" w:color="FF5000"/>
              <w:bottom w:val="single" w:sz="8" w:space="0" w:color="FF5000"/>
            </w:tcBorders>
            <w:vAlign w:val="center"/>
            <w:hideMark/>
          </w:tcPr>
          <w:p w14:paraId="0CE9C504" w14:textId="77777777" w:rsidR="00474ACC" w:rsidRPr="00BF7A15" w:rsidRDefault="00474ACC" w:rsidP="00FA2A8E">
            <w:pPr>
              <w:pStyle w:val="TableTitleInTable"/>
              <w:rPr>
                <w:sz w:val="15"/>
                <w:szCs w:val="15"/>
                <w:lang w:val="en-US"/>
              </w:rPr>
            </w:pPr>
            <w:r w:rsidRPr="00BF7A15">
              <w:rPr>
                <w:sz w:val="15"/>
                <w:szCs w:val="15"/>
              </w:rPr>
              <w:t>Growth Potential: 5K homes; 20k jobs; Status: Ready to Grow</w:t>
            </w:r>
          </w:p>
        </w:tc>
        <w:tc>
          <w:tcPr>
            <w:tcW w:w="2317" w:type="dxa"/>
            <w:tcBorders>
              <w:top w:val="single" w:sz="8" w:space="0" w:color="FF5000"/>
              <w:bottom w:val="single" w:sz="8" w:space="0" w:color="FF5000"/>
            </w:tcBorders>
            <w:vAlign w:val="center"/>
            <w:hideMark/>
          </w:tcPr>
          <w:p w14:paraId="7F37DAC7" w14:textId="77777777" w:rsidR="00474ACC" w:rsidRPr="00BF7A15" w:rsidRDefault="00474ACC" w:rsidP="00FA2A8E">
            <w:pPr>
              <w:pStyle w:val="TableTitleInTable"/>
              <w:rPr>
                <w:sz w:val="15"/>
                <w:szCs w:val="15"/>
                <w:lang w:val="en-US"/>
              </w:rPr>
            </w:pPr>
            <w:r w:rsidRPr="00BF7A15">
              <w:rPr>
                <w:sz w:val="15"/>
                <w:szCs w:val="15"/>
              </w:rPr>
              <w:t xml:space="preserve">Focus: no specific economic focus </w:t>
            </w:r>
          </w:p>
          <w:p w14:paraId="1CD10A91" w14:textId="77777777" w:rsidR="00474ACC" w:rsidRPr="00BF7A15" w:rsidRDefault="00474ACC" w:rsidP="00FA2A8E">
            <w:pPr>
              <w:pStyle w:val="TableTitleInTable"/>
              <w:rPr>
                <w:sz w:val="15"/>
                <w:szCs w:val="15"/>
                <w:lang w:val="en-US"/>
              </w:rPr>
            </w:pPr>
            <w:r w:rsidRPr="00BF7A15">
              <w:rPr>
                <w:sz w:val="15"/>
                <w:szCs w:val="15"/>
              </w:rPr>
              <w:t>Identity: no clear identity as yet</w:t>
            </w:r>
          </w:p>
        </w:tc>
        <w:tc>
          <w:tcPr>
            <w:tcW w:w="1708" w:type="dxa"/>
            <w:tcBorders>
              <w:top w:val="single" w:sz="8" w:space="0" w:color="FF5000"/>
              <w:bottom w:val="single" w:sz="8" w:space="0" w:color="FF5000"/>
            </w:tcBorders>
            <w:vAlign w:val="center"/>
            <w:hideMark/>
          </w:tcPr>
          <w:p w14:paraId="1A8F2356" w14:textId="77777777" w:rsidR="00474ACC" w:rsidRPr="00BF7A15" w:rsidRDefault="00474ACC" w:rsidP="00FA2A8E">
            <w:pPr>
              <w:pStyle w:val="TableTitleInTable"/>
              <w:rPr>
                <w:sz w:val="15"/>
                <w:szCs w:val="15"/>
                <w:lang w:val="en-US"/>
              </w:rPr>
            </w:pPr>
            <w:r w:rsidRPr="00BF7A15">
              <w:rPr>
                <w:sz w:val="15"/>
                <w:szCs w:val="15"/>
              </w:rPr>
              <w:t>Waterfront setting and good connections, but no significant economic assets</w:t>
            </w:r>
          </w:p>
        </w:tc>
      </w:tr>
      <w:tr w:rsidR="00BF7A15" w:rsidRPr="00474ACC" w14:paraId="08B70F10" w14:textId="77777777" w:rsidTr="00EF1536">
        <w:trPr>
          <w:cnfStyle w:val="000000100000" w:firstRow="0" w:lastRow="0" w:firstColumn="0" w:lastColumn="0" w:oddVBand="0" w:evenVBand="0" w:oddHBand="1" w:evenHBand="0" w:firstRowFirstColumn="0" w:firstRowLastColumn="0" w:lastRowFirstColumn="0" w:lastRowLastColumn="0"/>
          <w:trHeight w:val="602"/>
        </w:trPr>
        <w:tc>
          <w:tcPr>
            <w:tcW w:w="1092" w:type="dxa"/>
            <w:tcBorders>
              <w:top w:val="single" w:sz="8" w:space="0" w:color="FF5000"/>
              <w:bottom w:val="single" w:sz="8" w:space="0" w:color="FF5000"/>
            </w:tcBorders>
            <w:vAlign w:val="center"/>
            <w:hideMark/>
          </w:tcPr>
          <w:p w14:paraId="6597EA81" w14:textId="77777777" w:rsidR="00474ACC" w:rsidRPr="00810246" w:rsidRDefault="00474ACC" w:rsidP="00FA2A8E">
            <w:pPr>
              <w:pStyle w:val="TableTitleInTable"/>
              <w:rPr>
                <w:b/>
                <w:color w:val="052D3F" w:themeColor="accent1"/>
                <w:sz w:val="16"/>
                <w:lang w:val="en-US"/>
              </w:rPr>
            </w:pPr>
            <w:r w:rsidRPr="00810246">
              <w:rPr>
                <w:b/>
                <w:color w:val="052D3F" w:themeColor="accent1"/>
                <w:sz w:val="16"/>
              </w:rPr>
              <w:t>Croydon</w:t>
            </w:r>
          </w:p>
        </w:tc>
        <w:tc>
          <w:tcPr>
            <w:tcW w:w="860" w:type="dxa"/>
            <w:tcBorders>
              <w:top w:val="single" w:sz="8" w:space="0" w:color="FF5000"/>
              <w:bottom w:val="single" w:sz="8" w:space="0" w:color="FF5000"/>
            </w:tcBorders>
            <w:vAlign w:val="center"/>
            <w:hideMark/>
          </w:tcPr>
          <w:p w14:paraId="100C3846" w14:textId="77777777" w:rsidR="00474ACC" w:rsidRPr="00FA2A8E" w:rsidRDefault="00474ACC" w:rsidP="00FA2A8E">
            <w:pPr>
              <w:pStyle w:val="TableTitleInTable"/>
              <w:jc w:val="center"/>
              <w:rPr>
                <w:color w:val="C00000"/>
                <w:sz w:val="18"/>
                <w:lang w:val="en-US"/>
              </w:rPr>
            </w:pPr>
            <w:r w:rsidRPr="00FA2A8E">
              <w:rPr>
                <w:color w:val="C00000"/>
                <w:sz w:val="18"/>
              </w:rPr>
              <w:t>+4%</w:t>
            </w:r>
          </w:p>
        </w:tc>
        <w:tc>
          <w:tcPr>
            <w:tcW w:w="1167" w:type="dxa"/>
            <w:tcBorders>
              <w:top w:val="single" w:sz="8" w:space="0" w:color="FF5000"/>
              <w:bottom w:val="single" w:sz="8" w:space="0" w:color="FF5000"/>
            </w:tcBorders>
            <w:vAlign w:val="center"/>
            <w:hideMark/>
          </w:tcPr>
          <w:p w14:paraId="3FD79C63" w14:textId="77777777" w:rsidR="00474ACC" w:rsidRPr="00FA2A8E" w:rsidRDefault="00474ACC" w:rsidP="00FA2A8E">
            <w:pPr>
              <w:pStyle w:val="TableTitleInTable"/>
              <w:jc w:val="center"/>
              <w:rPr>
                <w:color w:val="00B050"/>
                <w:sz w:val="18"/>
                <w:lang w:val="en-US"/>
              </w:rPr>
            </w:pPr>
            <w:r w:rsidRPr="00FA2A8E">
              <w:rPr>
                <w:color w:val="00B050"/>
                <w:sz w:val="18"/>
              </w:rPr>
              <w:t>29%</w:t>
            </w:r>
          </w:p>
        </w:tc>
        <w:tc>
          <w:tcPr>
            <w:tcW w:w="1038" w:type="dxa"/>
            <w:tcBorders>
              <w:top w:val="single" w:sz="8" w:space="0" w:color="FF5000"/>
              <w:bottom w:val="single" w:sz="8" w:space="0" w:color="FF5000"/>
            </w:tcBorders>
            <w:vAlign w:val="center"/>
            <w:hideMark/>
          </w:tcPr>
          <w:p w14:paraId="4D975C54" w14:textId="77777777" w:rsidR="00474ACC" w:rsidRPr="00FA2A8E" w:rsidRDefault="00474ACC" w:rsidP="00FA2A8E">
            <w:pPr>
              <w:pStyle w:val="TableTitleInTable"/>
              <w:jc w:val="center"/>
              <w:rPr>
                <w:color w:val="00B050"/>
                <w:sz w:val="18"/>
                <w:lang w:val="en-US"/>
              </w:rPr>
            </w:pPr>
            <w:r w:rsidRPr="00FA2A8E">
              <w:rPr>
                <w:color w:val="00B050"/>
                <w:sz w:val="18"/>
              </w:rPr>
              <w:t>2.5</w:t>
            </w:r>
          </w:p>
        </w:tc>
        <w:tc>
          <w:tcPr>
            <w:tcW w:w="1230" w:type="dxa"/>
            <w:tcBorders>
              <w:top w:val="single" w:sz="8" w:space="0" w:color="FF5000"/>
              <w:bottom w:val="single" w:sz="8" w:space="0" w:color="FF5000"/>
            </w:tcBorders>
            <w:vAlign w:val="center"/>
            <w:hideMark/>
          </w:tcPr>
          <w:p w14:paraId="42BDDE9A" w14:textId="77777777" w:rsidR="00474ACC" w:rsidRPr="00BF7A15" w:rsidRDefault="00474ACC" w:rsidP="00FA2A8E">
            <w:pPr>
              <w:pStyle w:val="TableTitleInTable"/>
              <w:rPr>
                <w:sz w:val="15"/>
                <w:szCs w:val="15"/>
                <w:lang w:val="en-US"/>
              </w:rPr>
            </w:pPr>
            <w:r w:rsidRPr="00BF7A15">
              <w:rPr>
                <w:sz w:val="15"/>
                <w:szCs w:val="15"/>
              </w:rPr>
              <w:t>14.5k homes; 5k jobs; Status: Ready to Grow</w:t>
            </w:r>
          </w:p>
        </w:tc>
        <w:tc>
          <w:tcPr>
            <w:tcW w:w="2317" w:type="dxa"/>
            <w:tcBorders>
              <w:top w:val="single" w:sz="8" w:space="0" w:color="FF5000"/>
              <w:bottom w:val="single" w:sz="8" w:space="0" w:color="FF5000"/>
            </w:tcBorders>
            <w:vAlign w:val="center"/>
            <w:hideMark/>
          </w:tcPr>
          <w:p w14:paraId="09119CDB" w14:textId="77777777" w:rsidR="00474ACC" w:rsidRPr="00BF7A15" w:rsidRDefault="00474ACC" w:rsidP="00FA2A8E">
            <w:pPr>
              <w:pStyle w:val="TableTitleInTable"/>
              <w:rPr>
                <w:sz w:val="15"/>
                <w:szCs w:val="15"/>
                <w:lang w:val="en-US"/>
              </w:rPr>
            </w:pPr>
            <w:r w:rsidRPr="00BF7A15">
              <w:rPr>
                <w:sz w:val="15"/>
                <w:szCs w:val="15"/>
              </w:rPr>
              <w:t xml:space="preserve">Focus: emerging tech and creative focus </w:t>
            </w:r>
          </w:p>
          <w:p w14:paraId="03BB280C" w14:textId="77777777" w:rsidR="00474ACC" w:rsidRPr="00BF7A15" w:rsidRDefault="00474ACC" w:rsidP="00FA2A8E">
            <w:pPr>
              <w:pStyle w:val="TableTitleInTable"/>
              <w:rPr>
                <w:sz w:val="15"/>
                <w:szCs w:val="15"/>
                <w:lang w:val="en-US"/>
              </w:rPr>
            </w:pPr>
            <w:r w:rsidRPr="00BF7A15">
              <w:rPr>
                <w:sz w:val="15"/>
                <w:szCs w:val="15"/>
              </w:rPr>
              <w:t>Identity: aiming to recast historic identity to better reflect scale of aspiration and economic evolution</w:t>
            </w:r>
          </w:p>
        </w:tc>
        <w:tc>
          <w:tcPr>
            <w:tcW w:w="1708" w:type="dxa"/>
            <w:tcBorders>
              <w:top w:val="single" w:sz="8" w:space="0" w:color="FF5000"/>
              <w:bottom w:val="single" w:sz="8" w:space="0" w:color="FF5000"/>
            </w:tcBorders>
            <w:vAlign w:val="center"/>
            <w:hideMark/>
          </w:tcPr>
          <w:p w14:paraId="3DFC0776" w14:textId="77777777" w:rsidR="00474ACC" w:rsidRPr="00BF7A15" w:rsidRDefault="00474ACC" w:rsidP="00FA2A8E">
            <w:pPr>
              <w:pStyle w:val="TableTitleInTable"/>
              <w:rPr>
                <w:sz w:val="15"/>
                <w:szCs w:val="15"/>
                <w:lang w:val="en-US"/>
              </w:rPr>
            </w:pPr>
            <w:r w:rsidRPr="00BF7A15">
              <w:rPr>
                <w:sz w:val="15"/>
                <w:szCs w:val="15"/>
              </w:rPr>
              <w:t>Metropolitan town centre, some large anchor employers, emerging workspace sector</w:t>
            </w:r>
          </w:p>
        </w:tc>
      </w:tr>
      <w:tr w:rsidR="00BF7A15" w:rsidRPr="00474ACC" w14:paraId="69DB3557" w14:textId="77777777" w:rsidTr="00EF1536">
        <w:trPr>
          <w:trHeight w:val="753"/>
        </w:trPr>
        <w:tc>
          <w:tcPr>
            <w:tcW w:w="1092" w:type="dxa"/>
            <w:tcBorders>
              <w:top w:val="single" w:sz="8" w:space="0" w:color="FF5000"/>
              <w:bottom w:val="single" w:sz="8" w:space="0" w:color="FF5000"/>
            </w:tcBorders>
            <w:vAlign w:val="center"/>
            <w:hideMark/>
          </w:tcPr>
          <w:p w14:paraId="71C9A071" w14:textId="77777777" w:rsidR="00474ACC" w:rsidRPr="00810246" w:rsidRDefault="00474ACC" w:rsidP="00FA2A8E">
            <w:pPr>
              <w:pStyle w:val="TableTitleInTable"/>
              <w:rPr>
                <w:b/>
                <w:color w:val="052D3F" w:themeColor="accent1"/>
                <w:sz w:val="16"/>
                <w:lang w:val="en-US"/>
              </w:rPr>
            </w:pPr>
            <w:r w:rsidRPr="00810246">
              <w:rPr>
                <w:b/>
                <w:color w:val="052D3F" w:themeColor="accent1"/>
                <w:sz w:val="16"/>
              </w:rPr>
              <w:t>VNEB</w:t>
            </w:r>
          </w:p>
        </w:tc>
        <w:tc>
          <w:tcPr>
            <w:tcW w:w="860" w:type="dxa"/>
            <w:tcBorders>
              <w:top w:val="single" w:sz="8" w:space="0" w:color="FF5000"/>
              <w:bottom w:val="single" w:sz="8" w:space="0" w:color="FF5000"/>
            </w:tcBorders>
            <w:vAlign w:val="center"/>
            <w:hideMark/>
          </w:tcPr>
          <w:p w14:paraId="5F1D01C4" w14:textId="77777777" w:rsidR="00474ACC" w:rsidRPr="00FA2A8E" w:rsidRDefault="00474ACC" w:rsidP="00FA2A8E">
            <w:pPr>
              <w:pStyle w:val="TableTitleInTable"/>
              <w:jc w:val="center"/>
              <w:rPr>
                <w:color w:val="00B050"/>
                <w:sz w:val="18"/>
                <w:lang w:val="en-US"/>
              </w:rPr>
            </w:pPr>
            <w:r w:rsidRPr="00FA2A8E">
              <w:rPr>
                <w:color w:val="00B050"/>
                <w:sz w:val="18"/>
              </w:rPr>
              <w:t>+22%</w:t>
            </w:r>
          </w:p>
        </w:tc>
        <w:tc>
          <w:tcPr>
            <w:tcW w:w="1167" w:type="dxa"/>
            <w:tcBorders>
              <w:top w:val="single" w:sz="8" w:space="0" w:color="FF5000"/>
              <w:bottom w:val="single" w:sz="8" w:space="0" w:color="FF5000"/>
            </w:tcBorders>
            <w:vAlign w:val="center"/>
            <w:hideMark/>
          </w:tcPr>
          <w:p w14:paraId="76D999A3" w14:textId="77777777" w:rsidR="00474ACC" w:rsidRPr="00FA2A8E" w:rsidRDefault="00474ACC" w:rsidP="00FA2A8E">
            <w:pPr>
              <w:pStyle w:val="TableTitleInTable"/>
              <w:jc w:val="center"/>
              <w:rPr>
                <w:color w:val="00B050"/>
                <w:sz w:val="18"/>
                <w:lang w:val="en-US"/>
              </w:rPr>
            </w:pPr>
            <w:r w:rsidRPr="00FA2A8E">
              <w:rPr>
                <w:color w:val="00B050"/>
                <w:sz w:val="18"/>
              </w:rPr>
              <w:t>14%</w:t>
            </w:r>
          </w:p>
        </w:tc>
        <w:tc>
          <w:tcPr>
            <w:tcW w:w="1038" w:type="dxa"/>
            <w:tcBorders>
              <w:top w:val="single" w:sz="8" w:space="0" w:color="FF5000"/>
              <w:bottom w:val="single" w:sz="8" w:space="0" w:color="FF5000"/>
            </w:tcBorders>
            <w:vAlign w:val="center"/>
            <w:hideMark/>
          </w:tcPr>
          <w:p w14:paraId="14E7EF77" w14:textId="77777777" w:rsidR="00474ACC" w:rsidRPr="00FA2A8E" w:rsidRDefault="00474ACC" w:rsidP="00FA2A8E">
            <w:pPr>
              <w:pStyle w:val="TableTitleInTable"/>
              <w:jc w:val="center"/>
              <w:rPr>
                <w:color w:val="00B050"/>
                <w:sz w:val="18"/>
                <w:lang w:val="en-US"/>
              </w:rPr>
            </w:pPr>
            <w:r w:rsidRPr="00FA2A8E">
              <w:rPr>
                <w:color w:val="00B050"/>
                <w:sz w:val="18"/>
              </w:rPr>
              <w:t>0.8</w:t>
            </w:r>
          </w:p>
        </w:tc>
        <w:tc>
          <w:tcPr>
            <w:tcW w:w="1230" w:type="dxa"/>
            <w:tcBorders>
              <w:top w:val="single" w:sz="8" w:space="0" w:color="FF5000"/>
              <w:bottom w:val="single" w:sz="8" w:space="0" w:color="FF5000"/>
            </w:tcBorders>
            <w:vAlign w:val="center"/>
            <w:hideMark/>
          </w:tcPr>
          <w:p w14:paraId="20DA556A" w14:textId="77777777" w:rsidR="00474ACC" w:rsidRPr="00BF7A15" w:rsidRDefault="00474ACC" w:rsidP="00FA2A8E">
            <w:pPr>
              <w:pStyle w:val="TableTitleInTable"/>
              <w:rPr>
                <w:sz w:val="15"/>
                <w:szCs w:val="15"/>
                <w:lang w:val="en-US"/>
              </w:rPr>
            </w:pPr>
            <w:r w:rsidRPr="00BF7A15">
              <w:rPr>
                <w:sz w:val="15"/>
                <w:szCs w:val="15"/>
              </w:rPr>
              <w:t>Growth Potential: 18.5k homes; 18.5k jobs; Status: Underway</w:t>
            </w:r>
          </w:p>
        </w:tc>
        <w:tc>
          <w:tcPr>
            <w:tcW w:w="2317" w:type="dxa"/>
            <w:tcBorders>
              <w:top w:val="single" w:sz="8" w:space="0" w:color="FF5000"/>
              <w:bottom w:val="single" w:sz="8" w:space="0" w:color="FF5000"/>
            </w:tcBorders>
            <w:vAlign w:val="center"/>
            <w:hideMark/>
          </w:tcPr>
          <w:p w14:paraId="730B8B49" w14:textId="29381A27" w:rsidR="00474ACC" w:rsidRPr="00BF7A15" w:rsidRDefault="00474ACC" w:rsidP="00FA2A8E">
            <w:pPr>
              <w:pStyle w:val="TableTitleInTable"/>
              <w:rPr>
                <w:sz w:val="15"/>
                <w:szCs w:val="15"/>
                <w:lang w:val="en-US"/>
              </w:rPr>
            </w:pPr>
            <w:r w:rsidRPr="00BF7A15">
              <w:rPr>
                <w:sz w:val="15"/>
                <w:szCs w:val="15"/>
              </w:rPr>
              <w:t>Focus: no specific economic focus but pitching as an international business centre and a centre for arts &amp; culture</w:t>
            </w:r>
          </w:p>
          <w:p w14:paraId="1CEB702D" w14:textId="1B778A9A" w:rsidR="00474ACC" w:rsidRPr="00BF7A15" w:rsidRDefault="00474ACC" w:rsidP="00FA2A8E">
            <w:pPr>
              <w:pStyle w:val="TableTitleInTable"/>
              <w:rPr>
                <w:sz w:val="15"/>
                <w:szCs w:val="15"/>
                <w:lang w:val="en-US"/>
              </w:rPr>
            </w:pPr>
            <w:r w:rsidRPr="00BF7A15">
              <w:rPr>
                <w:sz w:val="15"/>
                <w:szCs w:val="15"/>
              </w:rPr>
              <w:t xml:space="preserve">Identity: branded as Nine Elms on the South </w:t>
            </w:r>
            <w:r w:rsidR="00CE2C53" w:rsidRPr="00BF7A15">
              <w:rPr>
                <w:sz w:val="15"/>
                <w:szCs w:val="15"/>
              </w:rPr>
              <w:t>Bank; but</w:t>
            </w:r>
            <w:r w:rsidRPr="00BF7A15">
              <w:rPr>
                <w:sz w:val="15"/>
                <w:szCs w:val="15"/>
              </w:rPr>
              <w:t xml:space="preserve"> overall identity not yet clear</w:t>
            </w:r>
          </w:p>
        </w:tc>
        <w:tc>
          <w:tcPr>
            <w:tcW w:w="1708" w:type="dxa"/>
            <w:tcBorders>
              <w:top w:val="single" w:sz="8" w:space="0" w:color="FF5000"/>
              <w:bottom w:val="single" w:sz="8" w:space="0" w:color="FF5000"/>
            </w:tcBorders>
            <w:vAlign w:val="center"/>
            <w:hideMark/>
          </w:tcPr>
          <w:p w14:paraId="0F3B1D2E" w14:textId="27551E76" w:rsidR="00474ACC" w:rsidRPr="00BF7A15" w:rsidRDefault="00474ACC" w:rsidP="00FA2A8E">
            <w:pPr>
              <w:pStyle w:val="TableTitleInTable"/>
              <w:rPr>
                <w:sz w:val="15"/>
                <w:szCs w:val="15"/>
                <w:lang w:val="en-US"/>
              </w:rPr>
            </w:pPr>
            <w:r w:rsidRPr="00BF7A15">
              <w:rPr>
                <w:sz w:val="15"/>
                <w:szCs w:val="15"/>
              </w:rPr>
              <w:t>Major anchors inc</w:t>
            </w:r>
            <w:r w:rsidR="00CE2C53" w:rsidRPr="00BF7A15">
              <w:rPr>
                <w:sz w:val="15"/>
                <w:szCs w:val="15"/>
              </w:rPr>
              <w:t>luding</w:t>
            </w:r>
            <w:r w:rsidRPr="00BF7A15">
              <w:rPr>
                <w:sz w:val="15"/>
                <w:szCs w:val="15"/>
              </w:rPr>
              <w:t xml:space="preserve">. BPS, American Embassy, Apple; new transport links </w:t>
            </w:r>
          </w:p>
        </w:tc>
      </w:tr>
      <w:tr w:rsidR="00BF7A15" w:rsidRPr="00474ACC" w14:paraId="2C243534" w14:textId="77777777" w:rsidTr="00EF1536">
        <w:trPr>
          <w:cnfStyle w:val="000000100000" w:firstRow="0" w:lastRow="0" w:firstColumn="0" w:lastColumn="0" w:oddVBand="0" w:evenVBand="0" w:oddHBand="1" w:evenHBand="0" w:firstRowFirstColumn="0" w:firstRowLastColumn="0" w:lastRowFirstColumn="0" w:lastRowLastColumn="0"/>
          <w:trHeight w:val="753"/>
        </w:trPr>
        <w:tc>
          <w:tcPr>
            <w:tcW w:w="1092" w:type="dxa"/>
            <w:tcBorders>
              <w:top w:val="single" w:sz="8" w:space="0" w:color="FF5000"/>
              <w:bottom w:val="single" w:sz="8" w:space="0" w:color="FF5000" w:themeColor="accent6"/>
            </w:tcBorders>
            <w:vAlign w:val="center"/>
            <w:hideMark/>
          </w:tcPr>
          <w:p w14:paraId="199A3D53" w14:textId="77777777" w:rsidR="00474ACC" w:rsidRPr="00810246" w:rsidRDefault="00474ACC" w:rsidP="00FA2A8E">
            <w:pPr>
              <w:pStyle w:val="TableTitleInTable"/>
              <w:rPr>
                <w:b/>
                <w:color w:val="052D3F" w:themeColor="accent1"/>
                <w:sz w:val="16"/>
                <w:lang w:val="en-US"/>
              </w:rPr>
            </w:pPr>
            <w:r w:rsidRPr="00810246">
              <w:rPr>
                <w:b/>
                <w:color w:val="052D3F" w:themeColor="accent1"/>
                <w:sz w:val="16"/>
              </w:rPr>
              <w:t>OPDC</w:t>
            </w:r>
          </w:p>
        </w:tc>
        <w:tc>
          <w:tcPr>
            <w:tcW w:w="860" w:type="dxa"/>
            <w:tcBorders>
              <w:top w:val="single" w:sz="8" w:space="0" w:color="FF5000"/>
              <w:bottom w:val="single" w:sz="8" w:space="0" w:color="FF5000" w:themeColor="accent6"/>
            </w:tcBorders>
            <w:vAlign w:val="center"/>
            <w:hideMark/>
          </w:tcPr>
          <w:p w14:paraId="4D2F5026" w14:textId="77777777" w:rsidR="00474ACC" w:rsidRPr="00FA2A8E" w:rsidRDefault="00474ACC" w:rsidP="00FA2A8E">
            <w:pPr>
              <w:pStyle w:val="TableTitleInTable"/>
              <w:jc w:val="center"/>
              <w:rPr>
                <w:color w:val="00B050"/>
                <w:sz w:val="18"/>
                <w:lang w:val="en-US"/>
              </w:rPr>
            </w:pPr>
            <w:r w:rsidRPr="00FA2A8E">
              <w:rPr>
                <w:color w:val="00B050"/>
                <w:sz w:val="18"/>
              </w:rPr>
              <w:t>+15%</w:t>
            </w:r>
          </w:p>
        </w:tc>
        <w:tc>
          <w:tcPr>
            <w:tcW w:w="1167" w:type="dxa"/>
            <w:tcBorders>
              <w:top w:val="single" w:sz="8" w:space="0" w:color="FF5000"/>
              <w:bottom w:val="single" w:sz="8" w:space="0" w:color="FF5000" w:themeColor="accent6"/>
            </w:tcBorders>
            <w:vAlign w:val="center"/>
            <w:hideMark/>
          </w:tcPr>
          <w:p w14:paraId="2B22A815" w14:textId="77777777" w:rsidR="00474ACC" w:rsidRPr="00FA2A8E" w:rsidRDefault="00474ACC" w:rsidP="00FA2A8E">
            <w:pPr>
              <w:pStyle w:val="TableTitleInTable"/>
              <w:jc w:val="center"/>
              <w:rPr>
                <w:color w:val="00B050"/>
                <w:sz w:val="18"/>
                <w:lang w:val="en-US"/>
              </w:rPr>
            </w:pPr>
            <w:r w:rsidRPr="00FA2A8E">
              <w:rPr>
                <w:color w:val="00B050"/>
                <w:sz w:val="18"/>
              </w:rPr>
              <w:t>12%</w:t>
            </w:r>
          </w:p>
        </w:tc>
        <w:tc>
          <w:tcPr>
            <w:tcW w:w="1038" w:type="dxa"/>
            <w:tcBorders>
              <w:top w:val="single" w:sz="8" w:space="0" w:color="FF5000"/>
              <w:bottom w:val="single" w:sz="8" w:space="0" w:color="FF5000" w:themeColor="accent6"/>
            </w:tcBorders>
            <w:vAlign w:val="center"/>
            <w:hideMark/>
          </w:tcPr>
          <w:p w14:paraId="6B970525" w14:textId="77777777" w:rsidR="00474ACC" w:rsidRPr="00FA2A8E" w:rsidRDefault="00474ACC" w:rsidP="00FA2A8E">
            <w:pPr>
              <w:pStyle w:val="TableTitleInTable"/>
              <w:jc w:val="center"/>
              <w:rPr>
                <w:color w:val="00B050"/>
                <w:sz w:val="18"/>
                <w:lang w:val="en-US"/>
              </w:rPr>
            </w:pPr>
            <w:r w:rsidRPr="00FA2A8E">
              <w:rPr>
                <w:color w:val="00B050"/>
                <w:sz w:val="18"/>
              </w:rPr>
              <w:t>3.5</w:t>
            </w:r>
          </w:p>
        </w:tc>
        <w:tc>
          <w:tcPr>
            <w:tcW w:w="1230" w:type="dxa"/>
            <w:tcBorders>
              <w:top w:val="single" w:sz="8" w:space="0" w:color="FF5000"/>
              <w:bottom w:val="single" w:sz="8" w:space="0" w:color="FF5000" w:themeColor="accent6"/>
            </w:tcBorders>
            <w:vAlign w:val="center"/>
            <w:hideMark/>
          </w:tcPr>
          <w:p w14:paraId="1BAD3C47" w14:textId="77777777" w:rsidR="00474ACC" w:rsidRPr="00BF7A15" w:rsidRDefault="00474ACC" w:rsidP="00FA2A8E">
            <w:pPr>
              <w:pStyle w:val="TableTitleInTable"/>
              <w:rPr>
                <w:sz w:val="15"/>
                <w:szCs w:val="15"/>
                <w:lang w:val="en-US"/>
              </w:rPr>
            </w:pPr>
            <w:r w:rsidRPr="00BF7A15">
              <w:rPr>
                <w:sz w:val="15"/>
                <w:szCs w:val="15"/>
              </w:rPr>
              <w:t>Growth Potential: 25k homes; 65k jobs; Status: Nascent</w:t>
            </w:r>
          </w:p>
        </w:tc>
        <w:tc>
          <w:tcPr>
            <w:tcW w:w="2317" w:type="dxa"/>
            <w:tcBorders>
              <w:top w:val="single" w:sz="8" w:space="0" w:color="FF5000"/>
              <w:bottom w:val="single" w:sz="8" w:space="0" w:color="FF5000" w:themeColor="accent6"/>
            </w:tcBorders>
            <w:vAlign w:val="center"/>
            <w:hideMark/>
          </w:tcPr>
          <w:p w14:paraId="5FEE2F8E" w14:textId="77777777" w:rsidR="00474ACC" w:rsidRPr="00BF7A15" w:rsidRDefault="00474ACC" w:rsidP="00FA2A8E">
            <w:pPr>
              <w:pStyle w:val="TableTitleInTable"/>
              <w:rPr>
                <w:sz w:val="15"/>
                <w:szCs w:val="15"/>
                <w:lang w:val="en-US"/>
              </w:rPr>
            </w:pPr>
            <w:r w:rsidRPr="00BF7A15">
              <w:rPr>
                <w:sz w:val="15"/>
                <w:szCs w:val="15"/>
              </w:rPr>
              <w:t>Focus: no specific sector focus – although transport links will support aspiration for a professional services and corporate district</w:t>
            </w:r>
          </w:p>
          <w:p w14:paraId="4FA34A87" w14:textId="77777777" w:rsidR="00474ACC" w:rsidRPr="00BF7A15" w:rsidRDefault="00474ACC" w:rsidP="00FA2A8E">
            <w:pPr>
              <w:pStyle w:val="TableTitleInTable"/>
              <w:rPr>
                <w:sz w:val="15"/>
                <w:szCs w:val="15"/>
                <w:lang w:val="en-US"/>
              </w:rPr>
            </w:pPr>
            <w:r w:rsidRPr="00BF7A15">
              <w:rPr>
                <w:sz w:val="15"/>
                <w:szCs w:val="15"/>
              </w:rPr>
              <w:t>Identity: economic role and identity currently unclear</w:t>
            </w:r>
          </w:p>
        </w:tc>
        <w:tc>
          <w:tcPr>
            <w:tcW w:w="1708" w:type="dxa"/>
            <w:tcBorders>
              <w:top w:val="single" w:sz="8" w:space="0" w:color="FF5000"/>
              <w:bottom w:val="single" w:sz="8" w:space="0" w:color="FF5000" w:themeColor="accent6"/>
            </w:tcBorders>
            <w:vAlign w:val="center"/>
            <w:hideMark/>
          </w:tcPr>
          <w:p w14:paraId="466F051E" w14:textId="77777777" w:rsidR="00474ACC" w:rsidRPr="00BF7A15" w:rsidRDefault="00474ACC" w:rsidP="00FA2A8E">
            <w:pPr>
              <w:pStyle w:val="TableTitleInTable"/>
              <w:rPr>
                <w:sz w:val="15"/>
                <w:szCs w:val="15"/>
                <w:lang w:val="en-US"/>
              </w:rPr>
            </w:pPr>
            <w:r w:rsidRPr="00BF7A15">
              <w:rPr>
                <w:sz w:val="15"/>
                <w:szCs w:val="15"/>
              </w:rPr>
              <w:t>HS2 &amp; Crossrail; Brunel &amp; Imperial; long standing manufacturers in Park Royal</w:t>
            </w:r>
          </w:p>
        </w:tc>
      </w:tr>
      <w:tr w:rsidR="00BF7A15" w:rsidRPr="00474ACC" w14:paraId="1931659C" w14:textId="77777777" w:rsidTr="00EF1536">
        <w:trPr>
          <w:trHeight w:val="602"/>
        </w:trPr>
        <w:tc>
          <w:tcPr>
            <w:tcW w:w="1092" w:type="dxa"/>
            <w:tcBorders>
              <w:top w:val="single" w:sz="8" w:space="0" w:color="FF5000" w:themeColor="accent6"/>
              <w:bottom w:val="single" w:sz="18" w:space="0" w:color="052D3F"/>
            </w:tcBorders>
            <w:vAlign w:val="center"/>
            <w:hideMark/>
          </w:tcPr>
          <w:p w14:paraId="0419D58D" w14:textId="77777777" w:rsidR="00474ACC" w:rsidRPr="00810246" w:rsidRDefault="00474ACC" w:rsidP="00FA2A8E">
            <w:pPr>
              <w:pStyle w:val="TableTitleInTable"/>
              <w:rPr>
                <w:b/>
                <w:color w:val="052D3F" w:themeColor="accent1"/>
                <w:sz w:val="16"/>
                <w:lang w:val="en-US"/>
              </w:rPr>
            </w:pPr>
            <w:r w:rsidRPr="00810246">
              <w:rPr>
                <w:b/>
                <w:color w:val="052D3F" w:themeColor="accent1"/>
                <w:sz w:val="16"/>
              </w:rPr>
              <w:t>Wembley</w:t>
            </w:r>
          </w:p>
        </w:tc>
        <w:tc>
          <w:tcPr>
            <w:tcW w:w="860" w:type="dxa"/>
            <w:tcBorders>
              <w:top w:val="single" w:sz="8" w:space="0" w:color="FF5000" w:themeColor="accent6"/>
              <w:bottom w:val="single" w:sz="18" w:space="0" w:color="052D3F"/>
            </w:tcBorders>
            <w:vAlign w:val="center"/>
            <w:hideMark/>
          </w:tcPr>
          <w:p w14:paraId="6E22248A" w14:textId="77777777" w:rsidR="00474ACC" w:rsidRPr="00FA2A8E" w:rsidRDefault="00474ACC" w:rsidP="00FA2A8E">
            <w:pPr>
              <w:pStyle w:val="TableTitleInTable"/>
              <w:jc w:val="center"/>
              <w:rPr>
                <w:color w:val="FFB999" w:themeColor="accent6" w:themeTint="66"/>
                <w:sz w:val="18"/>
                <w:lang w:val="en-US"/>
              </w:rPr>
            </w:pPr>
            <w:r w:rsidRPr="00FA2A8E">
              <w:rPr>
                <w:color w:val="FFB999" w:themeColor="accent6" w:themeTint="66"/>
                <w:sz w:val="18"/>
              </w:rPr>
              <w:t>+11%</w:t>
            </w:r>
          </w:p>
        </w:tc>
        <w:tc>
          <w:tcPr>
            <w:tcW w:w="1167" w:type="dxa"/>
            <w:tcBorders>
              <w:top w:val="single" w:sz="8" w:space="0" w:color="FF5000" w:themeColor="accent6"/>
              <w:bottom w:val="single" w:sz="18" w:space="0" w:color="052D3F"/>
            </w:tcBorders>
            <w:vAlign w:val="center"/>
            <w:hideMark/>
          </w:tcPr>
          <w:p w14:paraId="2EE0A351" w14:textId="77777777" w:rsidR="00474ACC" w:rsidRPr="00FA2A8E" w:rsidRDefault="00474ACC" w:rsidP="00FA2A8E">
            <w:pPr>
              <w:pStyle w:val="TableTitleInTable"/>
              <w:jc w:val="center"/>
              <w:rPr>
                <w:color w:val="FFB999" w:themeColor="accent6" w:themeTint="66"/>
                <w:sz w:val="18"/>
                <w:lang w:val="en-US"/>
              </w:rPr>
            </w:pPr>
            <w:r w:rsidRPr="00FA2A8E">
              <w:rPr>
                <w:color w:val="FFB999" w:themeColor="accent6" w:themeTint="66"/>
                <w:sz w:val="18"/>
              </w:rPr>
              <w:t>11%</w:t>
            </w:r>
          </w:p>
        </w:tc>
        <w:tc>
          <w:tcPr>
            <w:tcW w:w="1038" w:type="dxa"/>
            <w:tcBorders>
              <w:top w:val="single" w:sz="8" w:space="0" w:color="FF5000" w:themeColor="accent6"/>
              <w:bottom w:val="single" w:sz="18" w:space="0" w:color="052D3F"/>
            </w:tcBorders>
            <w:vAlign w:val="center"/>
            <w:hideMark/>
          </w:tcPr>
          <w:p w14:paraId="7AE62487" w14:textId="77777777" w:rsidR="00474ACC" w:rsidRPr="00FA2A8E" w:rsidRDefault="00474ACC" w:rsidP="00FA2A8E">
            <w:pPr>
              <w:pStyle w:val="TableTitleInTable"/>
              <w:jc w:val="center"/>
              <w:rPr>
                <w:sz w:val="18"/>
                <w:lang w:val="en-US"/>
              </w:rPr>
            </w:pPr>
            <w:r w:rsidRPr="00FA2A8E">
              <w:rPr>
                <w:color w:val="00B050"/>
                <w:sz w:val="18"/>
              </w:rPr>
              <w:t>1.5</w:t>
            </w:r>
          </w:p>
        </w:tc>
        <w:tc>
          <w:tcPr>
            <w:tcW w:w="1230" w:type="dxa"/>
            <w:tcBorders>
              <w:top w:val="single" w:sz="8" w:space="0" w:color="FF5000" w:themeColor="accent6"/>
              <w:bottom w:val="single" w:sz="18" w:space="0" w:color="052D3F"/>
            </w:tcBorders>
            <w:vAlign w:val="center"/>
            <w:hideMark/>
          </w:tcPr>
          <w:p w14:paraId="6A144188" w14:textId="77777777" w:rsidR="00474ACC" w:rsidRPr="00BF7A15" w:rsidRDefault="00474ACC" w:rsidP="00FA2A8E">
            <w:pPr>
              <w:pStyle w:val="TableTitleInTable"/>
              <w:rPr>
                <w:sz w:val="15"/>
                <w:szCs w:val="15"/>
                <w:lang w:val="en-US"/>
              </w:rPr>
            </w:pPr>
            <w:r w:rsidRPr="00BF7A15">
              <w:rPr>
                <w:sz w:val="15"/>
                <w:szCs w:val="15"/>
              </w:rPr>
              <w:t>Growth Potential: 14k homes; 13.5k jobs; Status: Underway</w:t>
            </w:r>
          </w:p>
        </w:tc>
        <w:tc>
          <w:tcPr>
            <w:tcW w:w="2317" w:type="dxa"/>
            <w:tcBorders>
              <w:top w:val="single" w:sz="8" w:space="0" w:color="FF5000" w:themeColor="accent6"/>
              <w:bottom w:val="single" w:sz="18" w:space="0" w:color="052D3F"/>
            </w:tcBorders>
            <w:vAlign w:val="center"/>
            <w:hideMark/>
          </w:tcPr>
          <w:p w14:paraId="2622ED3A" w14:textId="77777777" w:rsidR="00474ACC" w:rsidRPr="00BF7A15" w:rsidRDefault="00474ACC" w:rsidP="00FA2A8E">
            <w:pPr>
              <w:pStyle w:val="TableTitleInTable"/>
              <w:rPr>
                <w:sz w:val="15"/>
                <w:szCs w:val="15"/>
                <w:lang w:val="en-US"/>
              </w:rPr>
            </w:pPr>
            <w:r w:rsidRPr="00BF7A15">
              <w:rPr>
                <w:sz w:val="15"/>
                <w:szCs w:val="15"/>
              </w:rPr>
              <w:t>Sector Focus /USP: no clear sector focus</w:t>
            </w:r>
          </w:p>
          <w:p w14:paraId="24F39659" w14:textId="77777777" w:rsidR="00474ACC" w:rsidRPr="00BF7A15" w:rsidRDefault="00474ACC" w:rsidP="00FA2A8E">
            <w:pPr>
              <w:pStyle w:val="TableTitleInTable"/>
              <w:rPr>
                <w:sz w:val="15"/>
                <w:szCs w:val="15"/>
                <w:lang w:val="en-US"/>
              </w:rPr>
            </w:pPr>
            <w:r w:rsidRPr="00BF7A15">
              <w:rPr>
                <w:sz w:val="15"/>
                <w:szCs w:val="15"/>
              </w:rPr>
              <w:t>Identity: long established and global identity; strong placemaking focus to broaden reach and audience</w:t>
            </w:r>
          </w:p>
        </w:tc>
        <w:tc>
          <w:tcPr>
            <w:tcW w:w="1708" w:type="dxa"/>
            <w:tcBorders>
              <w:top w:val="single" w:sz="8" w:space="0" w:color="FF5000" w:themeColor="accent6"/>
              <w:bottom w:val="single" w:sz="18" w:space="0" w:color="052D3F"/>
            </w:tcBorders>
            <w:vAlign w:val="center"/>
            <w:hideMark/>
          </w:tcPr>
          <w:p w14:paraId="2FDBAABA" w14:textId="77777777" w:rsidR="00474ACC" w:rsidRPr="00BF7A15" w:rsidRDefault="00474ACC" w:rsidP="00FA2A8E">
            <w:pPr>
              <w:pStyle w:val="TableTitleInTable"/>
              <w:rPr>
                <w:sz w:val="15"/>
                <w:szCs w:val="15"/>
                <w:lang w:val="en-US"/>
              </w:rPr>
            </w:pPr>
            <w:r w:rsidRPr="00BF7A15">
              <w:rPr>
                <w:sz w:val="15"/>
                <w:szCs w:val="15"/>
              </w:rPr>
              <w:t>Wembley Stadium &amp; Arena; connections; improving consumption offer; civic hub</w:t>
            </w:r>
          </w:p>
        </w:tc>
      </w:tr>
    </w:tbl>
    <w:p w14:paraId="686402AD" w14:textId="5C8BE895" w:rsidR="00213C4C" w:rsidRDefault="00BF7A15" w:rsidP="00213C4C">
      <w:pPr>
        <w:pStyle w:val="TableTitleInTable"/>
        <w:spacing w:before="60" w:after="60"/>
        <w:rPr>
          <w:color w:val="08445E" w:themeColor="accent2"/>
          <w:sz w:val="16"/>
          <w:szCs w:val="16"/>
        </w:rPr>
      </w:pPr>
      <w:r w:rsidRPr="00BF7A15">
        <w:rPr>
          <w:b/>
          <w:color w:val="08445E" w:themeColor="accent2"/>
          <w:sz w:val="16"/>
          <w:szCs w:val="16"/>
        </w:rPr>
        <w:t>KEY</w:t>
      </w:r>
      <w:r>
        <w:rPr>
          <w:color w:val="08445E" w:themeColor="accent2"/>
          <w:sz w:val="16"/>
          <w:szCs w:val="16"/>
        </w:rPr>
        <w:t xml:space="preserve">: </w:t>
      </w:r>
      <w:r w:rsidRPr="00BF7A15">
        <w:rPr>
          <w:color w:val="C00000"/>
          <w:sz w:val="16"/>
          <w:szCs w:val="16"/>
        </w:rPr>
        <w:t xml:space="preserve">Red </w:t>
      </w:r>
      <w:r>
        <w:rPr>
          <w:color w:val="08445E" w:themeColor="accent2"/>
          <w:sz w:val="16"/>
          <w:szCs w:val="16"/>
        </w:rPr>
        <w:t xml:space="preserve">– performance weaker than Royal Docks; </w:t>
      </w:r>
      <w:r w:rsidRPr="00BF7A15">
        <w:rPr>
          <w:color w:val="00B050"/>
          <w:sz w:val="16"/>
          <w:szCs w:val="16"/>
        </w:rPr>
        <w:t xml:space="preserve">Green </w:t>
      </w:r>
      <w:r>
        <w:rPr>
          <w:color w:val="08445E" w:themeColor="accent2"/>
          <w:sz w:val="16"/>
          <w:szCs w:val="16"/>
        </w:rPr>
        <w:t xml:space="preserve">– performance stronger than Docks; </w:t>
      </w:r>
      <w:r w:rsidRPr="00BF7A15">
        <w:rPr>
          <w:color w:val="FFB999" w:themeColor="accent6" w:themeTint="66"/>
          <w:sz w:val="16"/>
          <w:szCs w:val="16"/>
        </w:rPr>
        <w:t xml:space="preserve">Orange </w:t>
      </w:r>
      <w:r>
        <w:rPr>
          <w:color w:val="08445E" w:themeColor="accent2"/>
          <w:sz w:val="16"/>
          <w:szCs w:val="16"/>
        </w:rPr>
        <w:t>– performance equivalent.</w:t>
      </w:r>
    </w:p>
    <w:p w14:paraId="3E5D7704" w14:textId="13D1DBE0" w:rsidR="008E465E" w:rsidRDefault="00BF7A15" w:rsidP="00EF1536">
      <w:pPr>
        <w:pStyle w:val="TableTitleInTable"/>
        <w:spacing w:before="60" w:after="60"/>
      </w:pPr>
      <w:r w:rsidRPr="00BF7A15">
        <w:rPr>
          <w:b/>
          <w:color w:val="08445E" w:themeColor="accent2"/>
          <w:sz w:val="16"/>
          <w:szCs w:val="16"/>
        </w:rPr>
        <w:t xml:space="preserve">1. </w:t>
      </w:r>
      <w:r w:rsidR="00722F62" w:rsidRPr="00BF7A15">
        <w:rPr>
          <w:b/>
          <w:color w:val="08445E" w:themeColor="accent2"/>
          <w:sz w:val="16"/>
          <w:szCs w:val="16"/>
        </w:rPr>
        <w:t xml:space="preserve">Jobs Change (2013-17): </w:t>
      </w:r>
      <w:r w:rsidR="004D5706" w:rsidRPr="00BF7A15">
        <w:rPr>
          <w:color w:val="08445E" w:themeColor="accent2"/>
          <w:sz w:val="16"/>
          <w:szCs w:val="16"/>
        </w:rPr>
        <w:t>R</w:t>
      </w:r>
      <w:r w:rsidR="00722F62" w:rsidRPr="00BF7A15">
        <w:rPr>
          <w:color w:val="08445E" w:themeColor="accent2"/>
          <w:sz w:val="16"/>
          <w:szCs w:val="16"/>
        </w:rPr>
        <w:t>oyal Docks</w:t>
      </w:r>
      <w:r w:rsidR="00727B4C" w:rsidRPr="00BF7A15">
        <w:rPr>
          <w:color w:val="08445E" w:themeColor="accent2"/>
          <w:sz w:val="16"/>
          <w:szCs w:val="16"/>
        </w:rPr>
        <w:t xml:space="preserve"> </w:t>
      </w:r>
      <w:r w:rsidR="004D5706" w:rsidRPr="00BF7A15">
        <w:rPr>
          <w:color w:val="08445E" w:themeColor="accent2"/>
          <w:sz w:val="16"/>
          <w:szCs w:val="16"/>
        </w:rPr>
        <w:t>=</w:t>
      </w:r>
      <w:r w:rsidR="00F203F4" w:rsidRPr="00BF7A15">
        <w:rPr>
          <w:color w:val="08445E" w:themeColor="accent2"/>
          <w:sz w:val="16"/>
          <w:szCs w:val="16"/>
        </w:rPr>
        <w:t xml:space="preserve"> </w:t>
      </w:r>
      <w:r w:rsidR="00727B4C" w:rsidRPr="00BF7A15">
        <w:rPr>
          <w:color w:val="08445E" w:themeColor="accent2"/>
          <w:sz w:val="16"/>
          <w:szCs w:val="16"/>
        </w:rPr>
        <w:t>+</w:t>
      </w:r>
      <w:r w:rsidR="004D5706" w:rsidRPr="00BF7A15">
        <w:rPr>
          <w:color w:val="08445E" w:themeColor="accent2"/>
          <w:sz w:val="16"/>
          <w:szCs w:val="16"/>
        </w:rPr>
        <w:t xml:space="preserve">10%; London = </w:t>
      </w:r>
      <w:r w:rsidR="00727B4C" w:rsidRPr="00BF7A15">
        <w:rPr>
          <w:color w:val="08445E" w:themeColor="accent2"/>
          <w:sz w:val="16"/>
          <w:szCs w:val="16"/>
        </w:rPr>
        <w:t>+</w:t>
      </w:r>
      <w:r w:rsidR="004D5706" w:rsidRPr="00BF7A15">
        <w:rPr>
          <w:color w:val="08445E" w:themeColor="accent2"/>
          <w:sz w:val="16"/>
          <w:szCs w:val="16"/>
        </w:rPr>
        <w:t>14%</w:t>
      </w:r>
      <w:r w:rsidRPr="00BF7A15">
        <w:rPr>
          <w:color w:val="08445E" w:themeColor="accent2"/>
          <w:sz w:val="16"/>
          <w:szCs w:val="16"/>
        </w:rPr>
        <w:t xml:space="preserve">; </w:t>
      </w:r>
      <w:r w:rsidRPr="00BF7A15">
        <w:rPr>
          <w:b/>
          <w:color w:val="08445E" w:themeColor="accent2"/>
          <w:sz w:val="16"/>
          <w:szCs w:val="16"/>
        </w:rPr>
        <w:t xml:space="preserve">2. </w:t>
      </w:r>
      <w:r w:rsidR="00727B4C" w:rsidRPr="00BF7A15">
        <w:rPr>
          <w:b/>
          <w:color w:val="08445E" w:themeColor="accent2"/>
          <w:sz w:val="16"/>
          <w:szCs w:val="16"/>
        </w:rPr>
        <w:t>Knowledge Jobs as a % of All Jobs (2017):</w:t>
      </w:r>
      <w:r w:rsidR="00727B4C" w:rsidRPr="00BF7A15">
        <w:rPr>
          <w:color w:val="08445E" w:themeColor="accent2"/>
          <w:sz w:val="16"/>
          <w:szCs w:val="16"/>
        </w:rPr>
        <w:t xml:space="preserve"> </w:t>
      </w:r>
      <w:r w:rsidR="004D5706" w:rsidRPr="00BF7A15">
        <w:rPr>
          <w:color w:val="08445E" w:themeColor="accent2"/>
          <w:sz w:val="16"/>
          <w:szCs w:val="16"/>
        </w:rPr>
        <w:t>R</w:t>
      </w:r>
      <w:r w:rsidR="00727B4C" w:rsidRPr="00BF7A15">
        <w:rPr>
          <w:color w:val="08445E" w:themeColor="accent2"/>
          <w:sz w:val="16"/>
          <w:szCs w:val="16"/>
        </w:rPr>
        <w:t xml:space="preserve">oyal Docks </w:t>
      </w:r>
      <w:r w:rsidR="004D5706" w:rsidRPr="00BF7A15">
        <w:rPr>
          <w:color w:val="08445E" w:themeColor="accent2"/>
          <w:sz w:val="16"/>
          <w:szCs w:val="16"/>
        </w:rPr>
        <w:t>=</w:t>
      </w:r>
      <w:r w:rsidR="00F203F4" w:rsidRPr="00BF7A15">
        <w:rPr>
          <w:color w:val="08445E" w:themeColor="accent2"/>
          <w:sz w:val="16"/>
          <w:szCs w:val="16"/>
        </w:rPr>
        <w:t xml:space="preserve"> </w:t>
      </w:r>
      <w:r w:rsidR="004D5706" w:rsidRPr="00BF7A15">
        <w:rPr>
          <w:color w:val="08445E" w:themeColor="accent2"/>
          <w:sz w:val="16"/>
          <w:szCs w:val="16"/>
        </w:rPr>
        <w:t>11%; London = 31%</w:t>
      </w:r>
      <w:r w:rsidRPr="00BF7A15">
        <w:rPr>
          <w:color w:val="08445E" w:themeColor="accent2"/>
          <w:sz w:val="16"/>
          <w:szCs w:val="16"/>
        </w:rPr>
        <w:t xml:space="preserve">; </w:t>
      </w:r>
      <w:r w:rsidRPr="00BF7A15">
        <w:rPr>
          <w:b/>
          <w:color w:val="08445E" w:themeColor="accent2"/>
          <w:sz w:val="16"/>
          <w:szCs w:val="16"/>
        </w:rPr>
        <w:t xml:space="preserve">3. </w:t>
      </w:r>
      <w:r w:rsidR="00727B4C" w:rsidRPr="00BF7A15">
        <w:rPr>
          <w:b/>
          <w:color w:val="08445E" w:themeColor="accent2"/>
          <w:sz w:val="16"/>
          <w:szCs w:val="16"/>
        </w:rPr>
        <w:t xml:space="preserve">Economic Density </w:t>
      </w:r>
      <w:r w:rsidR="00213C4C" w:rsidRPr="00BF7A15">
        <w:rPr>
          <w:b/>
          <w:color w:val="08445E" w:themeColor="accent2"/>
          <w:sz w:val="16"/>
          <w:szCs w:val="16"/>
        </w:rPr>
        <w:t>(</w:t>
      </w:r>
      <w:r w:rsidR="00727B4C" w:rsidRPr="00BF7A15">
        <w:rPr>
          <w:b/>
          <w:color w:val="08445E" w:themeColor="accent2"/>
          <w:sz w:val="16"/>
          <w:szCs w:val="16"/>
        </w:rPr>
        <w:t>Rati</w:t>
      </w:r>
      <w:r w:rsidR="00213C4C" w:rsidRPr="00BF7A15">
        <w:rPr>
          <w:b/>
          <w:color w:val="08445E" w:themeColor="accent2"/>
          <w:sz w:val="16"/>
          <w:szCs w:val="16"/>
        </w:rPr>
        <w:t>o</w:t>
      </w:r>
      <w:r w:rsidR="00727B4C" w:rsidRPr="00BF7A15">
        <w:rPr>
          <w:b/>
          <w:color w:val="08445E" w:themeColor="accent2"/>
          <w:sz w:val="16"/>
          <w:szCs w:val="16"/>
        </w:rPr>
        <w:t xml:space="preserve"> of Jobs to People</w:t>
      </w:r>
      <w:r w:rsidR="00213C4C" w:rsidRPr="00BF7A15">
        <w:rPr>
          <w:b/>
          <w:color w:val="08445E" w:themeColor="accent2"/>
          <w:sz w:val="16"/>
          <w:szCs w:val="16"/>
        </w:rPr>
        <w:t>, 2017):</w:t>
      </w:r>
      <w:r w:rsidR="00213C4C" w:rsidRPr="00BF7A15">
        <w:rPr>
          <w:color w:val="08445E" w:themeColor="accent2"/>
          <w:sz w:val="16"/>
          <w:szCs w:val="16"/>
        </w:rPr>
        <w:t xml:space="preserve"> </w:t>
      </w:r>
      <w:r w:rsidR="004D5706" w:rsidRPr="00BF7A15">
        <w:rPr>
          <w:color w:val="08445E" w:themeColor="accent2"/>
          <w:sz w:val="16"/>
          <w:szCs w:val="16"/>
        </w:rPr>
        <w:t>R</w:t>
      </w:r>
      <w:r w:rsidR="00213C4C" w:rsidRPr="00BF7A15">
        <w:rPr>
          <w:color w:val="08445E" w:themeColor="accent2"/>
          <w:sz w:val="16"/>
          <w:szCs w:val="16"/>
        </w:rPr>
        <w:t xml:space="preserve">oyal </w:t>
      </w:r>
      <w:r w:rsidR="004D5706" w:rsidRPr="00BF7A15">
        <w:rPr>
          <w:color w:val="08445E" w:themeColor="accent2"/>
          <w:sz w:val="16"/>
          <w:szCs w:val="16"/>
        </w:rPr>
        <w:t>D</w:t>
      </w:r>
      <w:r w:rsidR="00213C4C" w:rsidRPr="00BF7A15">
        <w:rPr>
          <w:color w:val="08445E" w:themeColor="accent2"/>
          <w:sz w:val="16"/>
          <w:szCs w:val="16"/>
        </w:rPr>
        <w:t>ocks</w:t>
      </w:r>
      <w:r w:rsidR="004D5706" w:rsidRPr="00BF7A15">
        <w:rPr>
          <w:color w:val="08445E" w:themeColor="accent2"/>
          <w:sz w:val="16"/>
          <w:szCs w:val="16"/>
        </w:rPr>
        <w:t xml:space="preserve"> = 0.4; London = 0.6</w:t>
      </w:r>
      <w:bookmarkStart w:id="23" w:name="_Toc20750105"/>
      <w:bookmarkStart w:id="24" w:name="_Toc20750218"/>
      <w:bookmarkStart w:id="25" w:name="_Toc20750272"/>
      <w:r w:rsidR="008E465E">
        <w:br w:type="page"/>
      </w:r>
    </w:p>
    <w:p w14:paraId="791A9F9F" w14:textId="3CC3CB5D" w:rsidR="005E4A93" w:rsidRDefault="005E4A93" w:rsidP="00AC2078">
      <w:pPr>
        <w:pStyle w:val="RDTier2"/>
      </w:pPr>
      <w:r>
        <w:lastRenderedPageBreak/>
        <w:t xml:space="preserve">In Summary: </w:t>
      </w:r>
      <w:r w:rsidR="00420599">
        <w:t xml:space="preserve">Establishing </w:t>
      </w:r>
      <w:r w:rsidR="00B71E9A">
        <w:t>Long Term</w:t>
      </w:r>
      <w:r w:rsidR="00420599">
        <w:t xml:space="preserve"> Foundations for Growth</w:t>
      </w:r>
      <w:r>
        <w:t xml:space="preserve"> </w:t>
      </w:r>
    </w:p>
    <w:bookmarkEnd w:id="23"/>
    <w:bookmarkEnd w:id="24"/>
    <w:bookmarkEnd w:id="25"/>
    <w:p w14:paraId="07F44CBB" w14:textId="77777777" w:rsidR="00412FDB" w:rsidRPr="005F1806" w:rsidRDefault="00412FDB" w:rsidP="00E12A6F">
      <w:pPr>
        <w:pStyle w:val="KeyMessBullet1Land"/>
        <w:framePr w:w="5225" w:h="5041" w:hRule="exact" w:wrap="around" w:hAnchor="page" w:x="5259" w:y="950"/>
        <w:numPr>
          <w:ilvl w:val="0"/>
          <w:numId w:val="0"/>
        </w:numPr>
        <w:ind w:left="567" w:hanging="340"/>
        <w:rPr>
          <w:b/>
          <w:sz w:val="22"/>
        </w:rPr>
      </w:pPr>
      <w:r w:rsidRPr="005F1806">
        <w:rPr>
          <w:b/>
          <w:sz w:val="22"/>
        </w:rPr>
        <w:t>Defining the Royal Dock’s Offer</w:t>
      </w:r>
    </w:p>
    <w:p w14:paraId="16627FC0" w14:textId="3BEDD481" w:rsidR="005F1806" w:rsidRPr="005F1806" w:rsidRDefault="005F1806" w:rsidP="00E12A6F">
      <w:pPr>
        <w:pStyle w:val="KeyMessBullet1Land"/>
        <w:framePr w:w="5225" w:h="5041" w:hRule="exact" w:wrap="around" w:hAnchor="page" w:x="5259" w:y="950"/>
        <w:numPr>
          <w:ilvl w:val="0"/>
          <w:numId w:val="0"/>
        </w:numPr>
        <w:ind w:left="567" w:hanging="340"/>
        <w:rPr>
          <w:sz w:val="20"/>
          <w:lang w:val="en-US"/>
        </w:rPr>
      </w:pPr>
      <w:r>
        <w:rPr>
          <w:sz w:val="20"/>
          <w:lang w:val="en-US"/>
        </w:rPr>
        <w:t>Local distinctiveness:</w:t>
      </w:r>
    </w:p>
    <w:p w14:paraId="4744746C" w14:textId="3B49AC8D" w:rsidR="00412FDB" w:rsidRPr="00412FDB" w:rsidRDefault="00412FDB" w:rsidP="00E12A6F">
      <w:pPr>
        <w:pStyle w:val="KeyMessBullet1Land"/>
        <w:framePr w:w="5225" w:h="5041" w:hRule="exact" w:wrap="around" w:hAnchor="page" w:x="5259" w:y="950"/>
        <w:rPr>
          <w:sz w:val="20"/>
          <w:lang w:val="en-US"/>
        </w:rPr>
      </w:pPr>
      <w:r w:rsidRPr="00412FDB">
        <w:rPr>
          <w:sz w:val="20"/>
        </w:rPr>
        <w:t xml:space="preserve">International identity and </w:t>
      </w:r>
      <w:r w:rsidR="004E62C3">
        <w:rPr>
          <w:sz w:val="20"/>
        </w:rPr>
        <w:t>links</w:t>
      </w:r>
    </w:p>
    <w:p w14:paraId="28332715" w14:textId="77777777" w:rsidR="00412FDB" w:rsidRPr="00412FDB" w:rsidRDefault="00412FDB" w:rsidP="00E12A6F">
      <w:pPr>
        <w:pStyle w:val="KeyMessBullet1Land"/>
        <w:framePr w:w="5225" w:h="5041" w:hRule="exact" w:wrap="around" w:hAnchor="page" w:x="5259" w:y="950"/>
        <w:rPr>
          <w:sz w:val="20"/>
          <w:lang w:val="en-US"/>
        </w:rPr>
      </w:pPr>
      <w:r w:rsidRPr="00412FDB">
        <w:rPr>
          <w:sz w:val="20"/>
        </w:rPr>
        <w:t>Economic anchors and assets</w:t>
      </w:r>
    </w:p>
    <w:p w14:paraId="4D6F0DEB" w14:textId="2689BB3A" w:rsidR="00412FDB" w:rsidRPr="00412FDB" w:rsidRDefault="00FE63BE" w:rsidP="00E12A6F">
      <w:pPr>
        <w:pStyle w:val="KeyMessBullet1Land"/>
        <w:framePr w:w="5225" w:h="5041" w:hRule="exact" w:wrap="around" w:hAnchor="page" w:x="5259" w:y="950"/>
        <w:rPr>
          <w:sz w:val="20"/>
          <w:lang w:val="en-US"/>
        </w:rPr>
      </w:pPr>
      <w:r>
        <w:rPr>
          <w:sz w:val="20"/>
        </w:rPr>
        <w:t>Physical c</w:t>
      </w:r>
      <w:r w:rsidR="00412FDB" w:rsidRPr="00412FDB">
        <w:rPr>
          <w:sz w:val="20"/>
        </w:rPr>
        <w:t>onnections</w:t>
      </w:r>
    </w:p>
    <w:p w14:paraId="3875E08A" w14:textId="77777777" w:rsidR="00412FDB" w:rsidRPr="00412FDB" w:rsidRDefault="00412FDB" w:rsidP="00E12A6F">
      <w:pPr>
        <w:pStyle w:val="KeyMessBullet1Land"/>
        <w:framePr w:w="5225" w:h="5041" w:hRule="exact" w:wrap="around" w:hAnchor="page" w:x="5259" w:y="950"/>
        <w:rPr>
          <w:sz w:val="20"/>
          <w:lang w:val="en-US"/>
        </w:rPr>
      </w:pPr>
      <w:r w:rsidRPr="00412FDB">
        <w:rPr>
          <w:sz w:val="20"/>
        </w:rPr>
        <w:t>Space and flexibility</w:t>
      </w:r>
    </w:p>
    <w:p w14:paraId="1D33E4C1" w14:textId="0A561BBE" w:rsidR="00412FDB" w:rsidRPr="00412FDB" w:rsidRDefault="00412FDB" w:rsidP="00E12A6F">
      <w:pPr>
        <w:pStyle w:val="KeyMessBullet1Land"/>
        <w:framePr w:w="5225" w:h="5041" w:hRule="exact" w:wrap="around" w:hAnchor="page" w:x="5259" w:y="950"/>
        <w:rPr>
          <w:sz w:val="20"/>
          <w:lang w:val="en-US"/>
        </w:rPr>
      </w:pPr>
      <w:r w:rsidRPr="00412FDB">
        <w:rPr>
          <w:sz w:val="20"/>
        </w:rPr>
        <w:t>True physical distinctiveness</w:t>
      </w:r>
      <w:r w:rsidR="00824CE4">
        <w:rPr>
          <w:sz w:val="20"/>
        </w:rPr>
        <w:t xml:space="preserve"> – water and sense of </w:t>
      </w:r>
      <w:r w:rsidR="004E62C3">
        <w:rPr>
          <w:sz w:val="20"/>
        </w:rPr>
        <w:t xml:space="preserve">scale and </w:t>
      </w:r>
      <w:r w:rsidR="00824CE4">
        <w:rPr>
          <w:sz w:val="20"/>
        </w:rPr>
        <w:t>openess</w:t>
      </w:r>
    </w:p>
    <w:p w14:paraId="6ADB72B0" w14:textId="48B06C81" w:rsidR="00412FDB" w:rsidRPr="00FE63BE" w:rsidRDefault="00412FDB" w:rsidP="00E12A6F">
      <w:pPr>
        <w:pStyle w:val="KeyMessBullet1Land"/>
        <w:framePr w:w="5225" w:h="5041" w:hRule="exact" w:wrap="around" w:hAnchor="page" w:x="5259" w:y="950"/>
        <w:rPr>
          <w:sz w:val="20"/>
          <w:lang w:val="en-US"/>
        </w:rPr>
      </w:pPr>
      <w:r w:rsidRPr="00412FDB">
        <w:rPr>
          <w:sz w:val="20"/>
        </w:rPr>
        <w:t>Delivery: governance</w:t>
      </w:r>
      <w:r w:rsidR="00E12A6F">
        <w:rPr>
          <w:sz w:val="20"/>
        </w:rPr>
        <w:t xml:space="preserve"> mechanism</w:t>
      </w:r>
      <w:r w:rsidR="00D45129">
        <w:rPr>
          <w:sz w:val="20"/>
        </w:rPr>
        <w:t xml:space="preserve">, </w:t>
      </w:r>
      <w:r w:rsidR="00E12A6F">
        <w:rPr>
          <w:sz w:val="20"/>
        </w:rPr>
        <w:t>financial commitment</w:t>
      </w:r>
      <w:r w:rsidR="00D45129">
        <w:rPr>
          <w:sz w:val="20"/>
        </w:rPr>
        <w:t xml:space="preserve"> (public and private sector)</w:t>
      </w:r>
      <w:r w:rsidRPr="00412FDB">
        <w:rPr>
          <w:sz w:val="20"/>
        </w:rPr>
        <w:t>, longevity</w:t>
      </w:r>
    </w:p>
    <w:p w14:paraId="1F25EC6C" w14:textId="6A213087" w:rsidR="00FE63BE" w:rsidRPr="005F1806" w:rsidRDefault="00FE63BE" w:rsidP="00E12A6F">
      <w:pPr>
        <w:pStyle w:val="KeyMessBullet1Land"/>
        <w:framePr w:w="5225" w:h="5041" w:hRule="exact" w:wrap="around" w:hAnchor="page" w:x="5259" w:y="950"/>
        <w:numPr>
          <w:ilvl w:val="0"/>
          <w:numId w:val="0"/>
        </w:numPr>
        <w:ind w:left="227"/>
        <w:rPr>
          <w:sz w:val="20"/>
          <w:lang w:val="en-US"/>
        </w:rPr>
      </w:pPr>
      <w:r>
        <w:rPr>
          <w:sz w:val="20"/>
        </w:rPr>
        <w:t xml:space="preserve">Wider offer: </w:t>
      </w:r>
    </w:p>
    <w:p w14:paraId="5C5C41F2" w14:textId="2FE24AA1" w:rsidR="005F1806" w:rsidRDefault="005F1806" w:rsidP="00E12A6F">
      <w:pPr>
        <w:pStyle w:val="KeyMessBullet1Land"/>
        <w:framePr w:w="5225" w:h="5041" w:hRule="exact" w:wrap="around" w:hAnchor="page" w:x="5259" w:y="950"/>
        <w:rPr>
          <w:sz w:val="20"/>
          <w:lang w:val="en-US"/>
        </w:rPr>
      </w:pPr>
      <w:r>
        <w:rPr>
          <w:sz w:val="20"/>
          <w:lang w:val="en-US"/>
        </w:rPr>
        <w:t xml:space="preserve">East London </w:t>
      </w:r>
      <w:r w:rsidR="00DF099B">
        <w:rPr>
          <w:sz w:val="20"/>
          <w:lang w:val="en-US"/>
        </w:rPr>
        <w:t>momentum – investment</w:t>
      </w:r>
      <w:r>
        <w:rPr>
          <w:sz w:val="20"/>
          <w:lang w:val="en-US"/>
        </w:rPr>
        <w:t xml:space="preserve"> and economy</w:t>
      </w:r>
    </w:p>
    <w:p w14:paraId="35518897" w14:textId="086AA809" w:rsidR="00DF099B" w:rsidRPr="001A3C50" w:rsidRDefault="00DF099B" w:rsidP="00E12A6F">
      <w:pPr>
        <w:pStyle w:val="KeyMessBullet1Land"/>
        <w:framePr w:w="5225" w:h="5041" w:hRule="exact" w:wrap="around" w:hAnchor="page" w:x="5259" w:y="950"/>
        <w:rPr>
          <w:sz w:val="20"/>
          <w:lang w:val="en-US"/>
        </w:rPr>
      </w:pPr>
      <w:r w:rsidRPr="001A3C50">
        <w:rPr>
          <w:sz w:val="20"/>
          <w:lang w:val="en-US"/>
        </w:rPr>
        <w:t xml:space="preserve">London – </w:t>
      </w:r>
      <w:r w:rsidRPr="001A3C50">
        <w:rPr>
          <w:sz w:val="20"/>
        </w:rPr>
        <w:t>young population and creative workforce; s</w:t>
      </w:r>
      <w:r w:rsidRPr="00DF099B">
        <w:rPr>
          <w:sz w:val="20"/>
        </w:rPr>
        <w:t>cale of labour pool</w:t>
      </w:r>
      <w:r w:rsidRPr="001A3C50">
        <w:rPr>
          <w:sz w:val="20"/>
        </w:rPr>
        <w:t>; a</w:t>
      </w:r>
      <w:r w:rsidRPr="00DF099B">
        <w:rPr>
          <w:sz w:val="20"/>
        </w:rPr>
        <w:t>ccess to HE and capital</w:t>
      </w:r>
      <w:r w:rsidRPr="001A3C50">
        <w:rPr>
          <w:sz w:val="20"/>
        </w:rPr>
        <w:t xml:space="preserve">; </w:t>
      </w:r>
      <w:r w:rsidR="001A3C50" w:rsidRPr="001A3C50">
        <w:rPr>
          <w:sz w:val="20"/>
        </w:rPr>
        <w:t>g</w:t>
      </w:r>
      <w:r w:rsidRPr="00DF099B">
        <w:rPr>
          <w:sz w:val="20"/>
        </w:rPr>
        <w:t>lobal standing and identity</w:t>
      </w:r>
      <w:r w:rsidR="001A3C50" w:rsidRPr="001A3C50">
        <w:rPr>
          <w:sz w:val="20"/>
        </w:rPr>
        <w:t xml:space="preserve">. </w:t>
      </w:r>
    </w:p>
    <w:p w14:paraId="154305F5" w14:textId="7A5E6098" w:rsidR="007B6824" w:rsidRDefault="00054B43" w:rsidP="00054B43">
      <w:pPr>
        <w:pStyle w:val="RDParagraph"/>
        <w:ind w:left="720"/>
      </w:pPr>
      <w:r>
        <w:t xml:space="preserve">The Royal Docks is a transformational opportunity for </w:t>
      </w:r>
      <w:r w:rsidR="002B6F38">
        <w:t>Newham and London</w:t>
      </w:r>
      <w:r w:rsidR="00056308">
        <w:t xml:space="preserve">, in terms of the </w:t>
      </w:r>
      <w:r w:rsidR="009A56EB">
        <w:t>homes and city infrastructure that it will provide</w:t>
      </w:r>
      <w:r w:rsidR="000E7A6A">
        <w:t>, the opportunities it will create for local residents, and the role that it can play in supporting London’s role on the global hub for business.</w:t>
      </w:r>
    </w:p>
    <w:p w14:paraId="185D9D83" w14:textId="037B94B7" w:rsidR="000B7508" w:rsidRDefault="000E7A6A" w:rsidP="00054B43">
      <w:pPr>
        <w:pStyle w:val="RDParagraph"/>
        <w:ind w:left="720"/>
      </w:pPr>
      <w:r>
        <w:t>However, g</w:t>
      </w:r>
      <w:r w:rsidR="00AC0AE4">
        <w:t xml:space="preserve">rowth on the scale envisaged </w:t>
      </w:r>
      <w:r>
        <w:t>represents a</w:t>
      </w:r>
      <w:r w:rsidR="004E7081">
        <w:t xml:space="preserve"> significant departure from ‘business as usual’ and proactive and </w:t>
      </w:r>
      <w:r w:rsidR="005178B4">
        <w:t>highly targeted action will be required to cata</w:t>
      </w:r>
      <w:r w:rsidR="00D10907">
        <w:t>lyse</w:t>
      </w:r>
      <w:r w:rsidR="005178B4">
        <w:t xml:space="preserve"> economic demand, </w:t>
      </w:r>
      <w:r w:rsidR="00D10907">
        <w:t xml:space="preserve">to </w:t>
      </w:r>
      <w:r w:rsidR="00E45BE7">
        <w:t xml:space="preserve">‘future-proof’ and </w:t>
      </w:r>
      <w:r w:rsidR="00D10907">
        <w:t>ensure longevity</w:t>
      </w:r>
      <w:r w:rsidR="005A0117">
        <w:t>,</w:t>
      </w:r>
      <w:r w:rsidR="00D10907">
        <w:t xml:space="preserve"> and to </w:t>
      </w:r>
      <w:r w:rsidR="001D1DC7">
        <w:t>position</w:t>
      </w:r>
      <w:r w:rsidR="001D3176">
        <w:t xml:space="preserve"> local residents and businesses </w:t>
      </w:r>
      <w:r w:rsidR="001D1DC7">
        <w:t>at the forefront of the opportunity.</w:t>
      </w:r>
    </w:p>
    <w:p w14:paraId="2457789F" w14:textId="31B9F7E3" w:rsidR="00432C86" w:rsidRDefault="00C9654D" w:rsidP="00043746">
      <w:pPr>
        <w:pStyle w:val="RDParagraph"/>
        <w:ind w:left="720"/>
        <w:rPr>
          <w:lang w:val="en-US"/>
        </w:rPr>
      </w:pPr>
      <w:r>
        <w:rPr>
          <w:lang w:val="en-US"/>
        </w:rPr>
        <w:t xml:space="preserve">A balanced approach will be required which </w:t>
      </w:r>
      <w:r w:rsidR="00AB3CAF">
        <w:rPr>
          <w:lang w:val="en-US"/>
        </w:rPr>
        <w:t>supports the evolution of a diverse economy,</w:t>
      </w:r>
      <w:r w:rsidR="00D94012">
        <w:rPr>
          <w:lang w:val="en-US"/>
        </w:rPr>
        <w:t xml:space="preserve"> </w:t>
      </w:r>
      <w:r w:rsidR="00F86CC8">
        <w:rPr>
          <w:lang w:val="en-US"/>
        </w:rPr>
        <w:t xml:space="preserve">helping existing businesses to remain and grow, new </w:t>
      </w:r>
      <w:r w:rsidR="00582474">
        <w:rPr>
          <w:lang w:val="en-US"/>
        </w:rPr>
        <w:t>businesses to start up, and</w:t>
      </w:r>
      <w:r w:rsidR="007A628A">
        <w:rPr>
          <w:lang w:val="en-US"/>
        </w:rPr>
        <w:t xml:space="preserve"> investment into the area </w:t>
      </w:r>
      <w:r w:rsidR="00432C86">
        <w:rPr>
          <w:lang w:val="en-US"/>
        </w:rPr>
        <w:t xml:space="preserve">from businesses looking to relocate or </w:t>
      </w:r>
      <w:r w:rsidR="00B350F6">
        <w:rPr>
          <w:lang w:val="en-US"/>
        </w:rPr>
        <w:t xml:space="preserve">looking </w:t>
      </w:r>
      <w:r w:rsidR="007750E8">
        <w:rPr>
          <w:lang w:val="en-US"/>
        </w:rPr>
        <w:t xml:space="preserve">to invest in the UK. </w:t>
      </w:r>
      <w:r w:rsidR="00D27544">
        <w:rPr>
          <w:lang w:val="en-US"/>
        </w:rPr>
        <w:t xml:space="preserve">Establishing local critical mass, </w:t>
      </w:r>
      <w:r w:rsidR="007B2EA4">
        <w:rPr>
          <w:lang w:val="en-US"/>
        </w:rPr>
        <w:t xml:space="preserve">sense of place and economic vibrancy will have a crucial role to play in underpinning the attractiveness of the area to existing and future residents and businesses. </w:t>
      </w:r>
    </w:p>
    <w:p w14:paraId="04443E28" w14:textId="77777777" w:rsidR="00A21E80" w:rsidRDefault="00A21E80" w:rsidP="00202234">
      <w:pPr>
        <w:pStyle w:val="RDIntroText"/>
        <w:sectPr w:rsidR="00A21E80" w:rsidSect="006E6391">
          <w:footerReference w:type="default" r:id="rId23"/>
          <w:pgSz w:w="11906" w:h="16838" w:code="9"/>
          <w:pgMar w:top="1417" w:right="1247" w:bottom="1587" w:left="1247" w:header="680" w:footer="340" w:gutter="0"/>
          <w:cols w:space="708"/>
          <w:docGrid w:linePitch="360"/>
        </w:sectPr>
      </w:pPr>
      <w:bookmarkStart w:id="26" w:name="_Toc19885872"/>
      <w:bookmarkStart w:id="27" w:name="_Toc20750219"/>
      <w:bookmarkStart w:id="28" w:name="_Toc20750273"/>
    </w:p>
    <w:p w14:paraId="1EDF5414" w14:textId="2AAE2214" w:rsidR="00A21E80" w:rsidRDefault="00A21E80" w:rsidP="00A21E80">
      <w:pPr>
        <w:pStyle w:val="Heading1"/>
      </w:pPr>
      <w:bookmarkStart w:id="29" w:name="_Toc25937442"/>
      <w:r>
        <w:lastRenderedPageBreak/>
        <w:t>Focusing Delivery and Investment</w:t>
      </w:r>
      <w:bookmarkEnd w:id="29"/>
      <w:r>
        <w:t xml:space="preserve">  </w:t>
      </w:r>
    </w:p>
    <w:p w14:paraId="1583DEB2" w14:textId="0AC7C6F8" w:rsidR="00202234" w:rsidRPr="009165C4" w:rsidRDefault="00AA3CE8" w:rsidP="00202234">
      <w:pPr>
        <w:pStyle w:val="RDIntroText"/>
      </w:pPr>
      <w:r>
        <w:t xml:space="preserve">A total public sector investment package of </w:t>
      </w:r>
      <w:r w:rsidR="00EF0ECE">
        <w:t xml:space="preserve">around </w:t>
      </w:r>
      <w:r>
        <w:t xml:space="preserve">£57 </w:t>
      </w:r>
      <w:r w:rsidR="001508AB">
        <w:t xml:space="preserve">million has been ringfenced for actions and interventions to </w:t>
      </w:r>
      <w:r w:rsidR="00067680">
        <w:t>catalyse growth in the local economy and delivery against the Economic Purpose</w:t>
      </w:r>
      <w:r w:rsidR="001508AB">
        <w:t xml:space="preserve">. </w:t>
      </w:r>
      <w:r w:rsidR="00067680">
        <w:t xml:space="preserve">Four action areas </w:t>
      </w:r>
      <w:r w:rsidR="00B57802">
        <w:t xml:space="preserve">have been identified which will form the focal point for investment: </w:t>
      </w:r>
      <w:r w:rsidR="007371A5">
        <w:t xml:space="preserve">innovation and capacity building via the Good Growth Fund, </w:t>
      </w:r>
      <w:r w:rsidR="00B57802">
        <w:t xml:space="preserve">employment and skills, </w:t>
      </w:r>
      <w:r w:rsidR="007371A5">
        <w:t>business support and</w:t>
      </w:r>
      <w:r w:rsidR="00B57802">
        <w:t xml:space="preserve"> workspace. </w:t>
      </w:r>
    </w:p>
    <w:p w14:paraId="7F03198B" w14:textId="77777777" w:rsidR="00202234" w:rsidRDefault="00202234" w:rsidP="00202234">
      <w:pPr>
        <w:pStyle w:val="RDTier2"/>
      </w:pPr>
      <w:bookmarkStart w:id="30" w:name="_Toc20750107"/>
      <w:bookmarkStart w:id="31" w:name="_Toc20750220"/>
      <w:bookmarkStart w:id="32" w:name="_Toc20750274"/>
      <w:r>
        <w:t>Focal Points for Action</w:t>
      </w:r>
      <w:bookmarkEnd w:id="30"/>
      <w:bookmarkEnd w:id="31"/>
      <w:bookmarkEnd w:id="32"/>
    </w:p>
    <w:p w14:paraId="405F5A5D" w14:textId="5A019A3F" w:rsidR="00431074" w:rsidRDefault="00CD5EF6" w:rsidP="00431074">
      <w:pPr>
        <w:pStyle w:val="RDParagraph"/>
        <w:ind w:left="720"/>
      </w:pPr>
      <w:r>
        <w:t xml:space="preserve">The Royal Docks Delivery Plan </w:t>
      </w:r>
      <w:r w:rsidR="00497A6D">
        <w:t xml:space="preserve">2018-2023 </w:t>
      </w:r>
      <w:r>
        <w:t xml:space="preserve">was </w:t>
      </w:r>
      <w:r w:rsidR="006A0266">
        <w:t xml:space="preserve">developed to provide an initial steer on delivery focus for the Royal Docks Team. </w:t>
      </w:r>
      <w:r w:rsidR="00431074">
        <w:t>From an economy perspective, the Delivery Plan identified four projects areas (</w:t>
      </w:r>
      <w:r w:rsidR="009630D9">
        <w:t>ECO</w:t>
      </w:r>
      <w:r w:rsidR="00A07CC9">
        <w:t>1 -</w:t>
      </w:r>
      <w:r w:rsidR="00431074">
        <w:t xml:space="preserve"> Good Growth Fund, </w:t>
      </w:r>
      <w:r w:rsidR="00A07CC9">
        <w:t xml:space="preserve">ECO2 – Employment and Skills, ECO3 – </w:t>
      </w:r>
      <w:r w:rsidR="00431074">
        <w:t>Business Support</w:t>
      </w:r>
      <w:r w:rsidR="00A07CC9">
        <w:t>,</w:t>
      </w:r>
      <w:r w:rsidR="00431074">
        <w:t xml:space="preserve"> and </w:t>
      </w:r>
      <w:r w:rsidR="00A07CC9">
        <w:t xml:space="preserve">ECO4 – </w:t>
      </w:r>
      <w:r w:rsidR="00431074">
        <w:t>Workspace)</w:t>
      </w:r>
      <w:r w:rsidR="000C75D1">
        <w:t xml:space="preserve">, </w:t>
      </w:r>
      <w:r w:rsidR="00431074">
        <w:t xml:space="preserve">each with an accompanying Project Initiation Document (PID).  </w:t>
      </w:r>
    </w:p>
    <w:p w14:paraId="4CE17AF7" w14:textId="1C2E3B5E" w:rsidR="006A0266" w:rsidRDefault="00FF556E" w:rsidP="00D6644E">
      <w:pPr>
        <w:pStyle w:val="RDParagraph"/>
        <w:ind w:left="720"/>
      </w:pPr>
      <w:r>
        <w:t xml:space="preserve">While </w:t>
      </w:r>
      <w:r w:rsidR="000C75D1">
        <w:t>the Delivery Plan</w:t>
      </w:r>
      <w:r>
        <w:t xml:space="preserve"> continues to provide the starting point </w:t>
      </w:r>
      <w:r w:rsidR="0098642B">
        <w:t>in progressing delivery</w:t>
      </w:r>
      <w:r>
        <w:t xml:space="preserve">, </w:t>
      </w:r>
      <w:r w:rsidR="000F72B6">
        <w:t xml:space="preserve">the Economic Purpose </w:t>
      </w:r>
      <w:r w:rsidR="0098642B">
        <w:t>has enabled</w:t>
      </w:r>
      <w:r w:rsidR="002471E1">
        <w:t xml:space="preserve"> fur</w:t>
      </w:r>
      <w:r w:rsidR="00983251">
        <w:t xml:space="preserve">ther development and refinement of thinking regarding the </w:t>
      </w:r>
      <w:r w:rsidR="0098642B">
        <w:t>targeting of investment</w:t>
      </w:r>
      <w:r w:rsidR="00EB471B">
        <w:t xml:space="preserve">. This reflects both </w:t>
      </w:r>
      <w:r w:rsidR="001B78A9">
        <w:t>an evolution in the Newham policy and political context</w:t>
      </w:r>
      <w:r w:rsidR="00EB471B">
        <w:t xml:space="preserve"> (particularly the development of Community Wealth Building objectives)</w:t>
      </w:r>
      <w:r w:rsidR="001B78A9">
        <w:t xml:space="preserve">, and </w:t>
      </w:r>
      <w:r w:rsidR="00EB471B">
        <w:t xml:space="preserve">the development of </w:t>
      </w:r>
      <w:r w:rsidR="00983251">
        <w:t>a more granular economic evidence base</w:t>
      </w:r>
      <w:r w:rsidR="001B78A9">
        <w:t xml:space="preserve">. </w:t>
      </w:r>
      <w:r w:rsidR="000D63E9">
        <w:t xml:space="preserve"> It enables a more mission focussed approach to the evolution of the economy as well as one, which responds to Newham’s aspirations for inclusive economy.</w:t>
      </w:r>
    </w:p>
    <w:p w14:paraId="6E50D2FC" w14:textId="3D81808C" w:rsidR="00731A95" w:rsidRDefault="001B78A9" w:rsidP="00731A95">
      <w:pPr>
        <w:pStyle w:val="RDParagraph"/>
        <w:ind w:left="720"/>
      </w:pPr>
      <w:r>
        <w:t>R</w:t>
      </w:r>
      <w:r w:rsidR="00CD5EF6">
        <w:t xml:space="preserve">ecommendations have been made to focus or tweak </w:t>
      </w:r>
      <w:r w:rsidR="00731A95">
        <w:t xml:space="preserve">delivery </w:t>
      </w:r>
      <w:r w:rsidR="00CD5EF6">
        <w:t xml:space="preserve">activity, to deliver clear outcomes for the Royal Docks, Newham and London. </w:t>
      </w:r>
      <w:r w:rsidR="00731A95">
        <w:t xml:space="preserve">A summary of proposed adaptations is provided in the table overleaf with further detail outlined in the remainder of the section. </w:t>
      </w:r>
    </w:p>
    <w:p w14:paraId="4586B995" w14:textId="61A28018" w:rsidR="00CD5EF6" w:rsidRDefault="00192E96" w:rsidP="00CD5EF6">
      <w:pPr>
        <w:pStyle w:val="RDParagraph"/>
        <w:ind w:left="720"/>
      </w:pPr>
      <w:r>
        <w:t xml:space="preserve">These reflect a number of strategic </w:t>
      </w:r>
      <w:r w:rsidR="007371A5">
        <w:t>considerations</w:t>
      </w:r>
      <w:r w:rsidR="00CD5EF6">
        <w:t>:</w:t>
      </w:r>
    </w:p>
    <w:p w14:paraId="5C8A62F7" w14:textId="7C68D632" w:rsidR="00CD5EF6" w:rsidRPr="00CD5EF6" w:rsidRDefault="00CD5EF6" w:rsidP="00656655">
      <w:pPr>
        <w:pStyle w:val="RDBullet"/>
      </w:pPr>
      <w:r>
        <w:t xml:space="preserve">There is </w:t>
      </w:r>
      <w:r w:rsidR="007D43B1">
        <w:t>a need</w:t>
      </w:r>
      <w:r>
        <w:t xml:space="preserve"> </w:t>
      </w:r>
      <w:r w:rsidR="007D43B1">
        <w:t>progress</w:t>
      </w:r>
      <w:r w:rsidR="00BA29D1">
        <w:t xml:space="preserve"> </w:t>
      </w:r>
      <w:r>
        <w:t xml:space="preserve">delivery </w:t>
      </w:r>
      <w:r w:rsidR="00BA29D1">
        <w:t xml:space="preserve">during 2020 </w:t>
      </w:r>
      <w:r>
        <w:t>to stimulate economic activity in the Royal Docks</w:t>
      </w:r>
    </w:p>
    <w:p w14:paraId="440395C4" w14:textId="236BD27D" w:rsidR="00CD5EF6" w:rsidRPr="00CD5EF6" w:rsidRDefault="00CD5EF6" w:rsidP="00656655">
      <w:pPr>
        <w:pStyle w:val="RDBullet"/>
      </w:pPr>
      <w:r w:rsidRPr="00CD5EF6">
        <w:t xml:space="preserve">There is potential to redistribute budgets on the basis of </w:t>
      </w:r>
      <w:r w:rsidR="007D43B1">
        <w:t xml:space="preserve">new </w:t>
      </w:r>
      <w:r w:rsidRPr="00CD5EF6">
        <w:t>evidence and insight</w:t>
      </w:r>
    </w:p>
    <w:p w14:paraId="58955997" w14:textId="292EAA67" w:rsidR="00CD5EF6" w:rsidRPr="00CD5EF6" w:rsidRDefault="00CD5EF6" w:rsidP="00656655">
      <w:pPr>
        <w:pStyle w:val="RDBullet"/>
      </w:pPr>
      <w:r w:rsidRPr="00CD5EF6">
        <w:t>Projects should better reflect inclusive and Community Wealth Building</w:t>
      </w:r>
      <w:r>
        <w:t xml:space="preserve"> objectives</w:t>
      </w:r>
      <w:r w:rsidR="000D63E9">
        <w:t xml:space="preserve"> as well as Newham’s aspirations for a Green New Deal</w:t>
      </w:r>
      <w:r>
        <w:t xml:space="preserve"> </w:t>
      </w:r>
    </w:p>
    <w:p w14:paraId="749AEA71" w14:textId="77777777" w:rsidR="00CD5EF6" w:rsidRDefault="00CD5EF6" w:rsidP="00656655">
      <w:pPr>
        <w:pStyle w:val="RDBullet"/>
      </w:pPr>
      <w:r>
        <w:t>Much of the funding provides the flexibility to e</w:t>
      </w:r>
      <w:r w:rsidRPr="00C247AD">
        <w:t>xplor</w:t>
      </w:r>
      <w:r>
        <w:t>e</w:t>
      </w:r>
      <w:r w:rsidRPr="00C247AD">
        <w:t xml:space="preserve"> new and innovative delivery</w:t>
      </w:r>
      <w:r>
        <w:t xml:space="preserve"> approaches and models</w:t>
      </w:r>
    </w:p>
    <w:p w14:paraId="69669DF9" w14:textId="0E09348A" w:rsidR="00AB7262" w:rsidRDefault="00AB7262" w:rsidP="001E5BB7">
      <w:pPr>
        <w:pStyle w:val="RDParagraph"/>
        <w:ind w:left="720"/>
      </w:pPr>
      <w:r>
        <w:t xml:space="preserve">It is important to note that while the focus on projects </w:t>
      </w:r>
      <w:r w:rsidR="004F26B8">
        <w:t>explicitly</w:t>
      </w:r>
      <w:r>
        <w:t xml:space="preserve"> linked to the Economy theme of the Royal Docks </w:t>
      </w:r>
      <w:r w:rsidR="00BD55E5">
        <w:t>D</w:t>
      </w:r>
      <w:r>
        <w:t xml:space="preserve">elivery </w:t>
      </w:r>
      <w:r w:rsidR="00BD55E5">
        <w:t>P</w:t>
      </w:r>
      <w:r>
        <w:t xml:space="preserve">lan, there are obvious overlaps with wider areas of investment </w:t>
      </w:r>
      <w:r w:rsidR="00BD55E5">
        <w:t>associated with the other core themes, notably Place and Connectivity.</w:t>
      </w:r>
    </w:p>
    <w:p w14:paraId="76F7C960" w14:textId="77777777" w:rsidR="001E5BB7" w:rsidRDefault="001E5BB7" w:rsidP="00B513F0">
      <w:pPr>
        <w:pStyle w:val="RDTier2"/>
        <w:ind w:left="0" w:firstLine="680"/>
        <w:rPr>
          <w:i/>
          <w:sz w:val="22"/>
          <w:lang w:val="en-US"/>
        </w:rPr>
      </w:pPr>
      <w:r>
        <w:rPr>
          <w:i/>
          <w:sz w:val="22"/>
          <w:lang w:val="en-US"/>
        </w:rPr>
        <w:br w:type="page"/>
      </w:r>
    </w:p>
    <w:p w14:paraId="6FD9B00E" w14:textId="15C9BA2B" w:rsidR="00F72A73" w:rsidRPr="00595D2C" w:rsidRDefault="00F72A73" w:rsidP="00B513F0">
      <w:pPr>
        <w:pStyle w:val="RDTier2"/>
        <w:ind w:left="0" w:firstLine="680"/>
        <w:rPr>
          <w:i/>
          <w:sz w:val="22"/>
          <w:lang w:val="en-US"/>
        </w:rPr>
      </w:pPr>
      <w:r w:rsidRPr="00595D2C">
        <w:rPr>
          <w:i/>
          <w:sz w:val="22"/>
          <w:lang w:val="en-US"/>
        </w:rPr>
        <w:lastRenderedPageBreak/>
        <w:t xml:space="preserve">Table </w:t>
      </w:r>
      <w:r w:rsidR="001961F9" w:rsidRPr="00595D2C">
        <w:rPr>
          <w:i/>
          <w:sz w:val="22"/>
          <w:lang w:val="en-US"/>
        </w:rPr>
        <w:t>4.1: Royal Docks Delivery Plan, 2018-23, Indicative Areas for Spend</w:t>
      </w:r>
    </w:p>
    <w:tbl>
      <w:tblPr>
        <w:tblW w:w="0" w:type="auto"/>
        <w:tblInd w:w="709" w:type="dxa"/>
        <w:tblCellMar>
          <w:left w:w="0" w:type="dxa"/>
          <w:right w:w="0" w:type="dxa"/>
        </w:tblCellMar>
        <w:tblLook w:val="0420" w:firstRow="1" w:lastRow="0" w:firstColumn="0" w:lastColumn="0" w:noHBand="0" w:noVBand="1"/>
      </w:tblPr>
      <w:tblGrid>
        <w:gridCol w:w="1034"/>
        <w:gridCol w:w="1890"/>
        <w:gridCol w:w="3597"/>
        <w:gridCol w:w="2182"/>
      </w:tblGrid>
      <w:tr w:rsidR="0023046D" w:rsidRPr="00F72A73" w14:paraId="6B02E238" w14:textId="6DF60356" w:rsidTr="001C74AB">
        <w:trPr>
          <w:trHeight w:val="239"/>
        </w:trPr>
        <w:tc>
          <w:tcPr>
            <w:tcW w:w="1034" w:type="dxa"/>
            <w:vMerge w:val="restart"/>
            <w:tcBorders>
              <w:top w:val="single" w:sz="18" w:space="0" w:color="08445E" w:themeColor="accent2"/>
              <w:left w:val="nil"/>
              <w:right w:val="nil"/>
            </w:tcBorders>
            <w:shd w:val="clear" w:color="auto" w:fill="E9E9EA"/>
            <w:tcMar>
              <w:top w:w="72" w:type="dxa"/>
              <w:left w:w="144" w:type="dxa"/>
              <w:bottom w:w="72" w:type="dxa"/>
              <w:right w:w="144" w:type="dxa"/>
            </w:tcMar>
            <w:vAlign w:val="center"/>
          </w:tcPr>
          <w:p w14:paraId="12ED1BF8" w14:textId="28A6D2A8" w:rsidR="0023046D" w:rsidRPr="00F72A73" w:rsidRDefault="0023046D" w:rsidP="00B36441">
            <w:pPr>
              <w:pStyle w:val="TableTitleInTable"/>
            </w:pPr>
          </w:p>
        </w:tc>
        <w:tc>
          <w:tcPr>
            <w:tcW w:w="1890" w:type="dxa"/>
            <w:vMerge w:val="restart"/>
            <w:tcBorders>
              <w:top w:val="single" w:sz="18" w:space="0" w:color="08445E" w:themeColor="accent2"/>
              <w:left w:val="nil"/>
              <w:right w:val="nil"/>
            </w:tcBorders>
            <w:shd w:val="clear" w:color="auto" w:fill="E9E9EA"/>
            <w:tcMar>
              <w:top w:w="72" w:type="dxa"/>
              <w:left w:w="144" w:type="dxa"/>
              <w:bottom w:w="72" w:type="dxa"/>
              <w:right w:w="144" w:type="dxa"/>
            </w:tcMar>
          </w:tcPr>
          <w:p w14:paraId="0B168FBA" w14:textId="47BEAA8B" w:rsidR="0023046D" w:rsidRPr="00BF7897" w:rsidRDefault="0023046D" w:rsidP="00503DD6">
            <w:pPr>
              <w:pStyle w:val="TableTitleInTable"/>
              <w:jc w:val="center"/>
              <w:rPr>
                <w:b/>
                <w:color w:val="FF5000" w:themeColor="accent6"/>
                <w:sz w:val="20"/>
              </w:rPr>
            </w:pPr>
            <w:r w:rsidRPr="00BF7897">
              <w:rPr>
                <w:b/>
                <w:color w:val="FF5000" w:themeColor="accent6"/>
                <w:sz w:val="20"/>
              </w:rPr>
              <w:t xml:space="preserve">Existing Focus </w:t>
            </w:r>
          </w:p>
          <w:p w14:paraId="2D56C61F" w14:textId="6D40B210" w:rsidR="0023046D" w:rsidRPr="00BF7897" w:rsidRDefault="0023046D" w:rsidP="00503DD6">
            <w:pPr>
              <w:pStyle w:val="TableTitleInTable"/>
              <w:jc w:val="center"/>
              <w:rPr>
                <w:b/>
                <w:color w:val="FF5000" w:themeColor="accent6"/>
                <w:sz w:val="20"/>
              </w:rPr>
            </w:pPr>
            <w:r w:rsidRPr="00BF7897">
              <w:rPr>
                <w:b/>
                <w:color w:val="FF5000" w:themeColor="accent6"/>
                <w:sz w:val="20"/>
              </w:rPr>
              <w:t>(Delivery Plan 2018-23)</w:t>
            </w:r>
          </w:p>
        </w:tc>
        <w:tc>
          <w:tcPr>
            <w:tcW w:w="5779" w:type="dxa"/>
            <w:gridSpan w:val="2"/>
            <w:tcBorders>
              <w:top w:val="single" w:sz="18" w:space="0" w:color="08445E" w:themeColor="accent2"/>
              <w:left w:val="nil"/>
              <w:bottom w:val="single" w:sz="18" w:space="0" w:color="08445E" w:themeColor="accent2"/>
              <w:right w:val="nil"/>
            </w:tcBorders>
            <w:shd w:val="clear" w:color="auto" w:fill="E9E9EA"/>
          </w:tcPr>
          <w:p w14:paraId="11EAE039" w14:textId="011C7E3A" w:rsidR="0023046D" w:rsidRPr="00BF7897" w:rsidRDefault="0023046D" w:rsidP="0023046D">
            <w:pPr>
              <w:pStyle w:val="TableTitleInTable"/>
              <w:jc w:val="center"/>
              <w:rPr>
                <w:b/>
                <w:color w:val="FF5000" w:themeColor="accent6"/>
                <w:sz w:val="20"/>
              </w:rPr>
            </w:pPr>
            <w:r w:rsidRPr="00BF7897">
              <w:rPr>
                <w:b/>
                <w:color w:val="FF5000" w:themeColor="accent6"/>
                <w:sz w:val="20"/>
              </w:rPr>
              <w:t xml:space="preserve">Proposed Evolution </w:t>
            </w:r>
            <w:r>
              <w:rPr>
                <w:b/>
                <w:color w:val="FF5000" w:themeColor="accent6"/>
                <w:sz w:val="20"/>
              </w:rPr>
              <w:t>(</w:t>
            </w:r>
            <w:r w:rsidRPr="00BF7897">
              <w:rPr>
                <w:b/>
                <w:color w:val="FF5000" w:themeColor="accent6"/>
                <w:sz w:val="20"/>
              </w:rPr>
              <w:t>Economic Purpose)</w:t>
            </w:r>
          </w:p>
        </w:tc>
      </w:tr>
      <w:tr w:rsidR="00BA17B4" w:rsidRPr="00F72A73" w14:paraId="0F32292B" w14:textId="77777777" w:rsidTr="007D0F71">
        <w:trPr>
          <w:trHeight w:val="206"/>
        </w:trPr>
        <w:tc>
          <w:tcPr>
            <w:tcW w:w="1034" w:type="dxa"/>
            <w:vMerge/>
            <w:tcBorders>
              <w:left w:val="nil"/>
              <w:bottom w:val="single" w:sz="18" w:space="0" w:color="08445E" w:themeColor="accent2"/>
              <w:right w:val="nil"/>
            </w:tcBorders>
            <w:shd w:val="clear" w:color="auto" w:fill="E9E9EA"/>
            <w:tcMar>
              <w:top w:w="72" w:type="dxa"/>
              <w:left w:w="144" w:type="dxa"/>
              <w:bottom w:w="72" w:type="dxa"/>
              <w:right w:w="144" w:type="dxa"/>
            </w:tcMar>
            <w:vAlign w:val="center"/>
          </w:tcPr>
          <w:p w14:paraId="18AFA29D" w14:textId="77777777" w:rsidR="00BA17B4" w:rsidRPr="00F72A73" w:rsidRDefault="00BA17B4" w:rsidP="00B36441">
            <w:pPr>
              <w:pStyle w:val="TableTitleInTable"/>
            </w:pPr>
          </w:p>
        </w:tc>
        <w:tc>
          <w:tcPr>
            <w:tcW w:w="1890" w:type="dxa"/>
            <w:vMerge/>
            <w:tcBorders>
              <w:left w:val="nil"/>
              <w:bottom w:val="single" w:sz="18" w:space="0" w:color="08445E" w:themeColor="accent2"/>
              <w:right w:val="nil"/>
            </w:tcBorders>
            <w:shd w:val="clear" w:color="auto" w:fill="E9E9EA"/>
            <w:tcMar>
              <w:top w:w="72" w:type="dxa"/>
              <w:left w:w="144" w:type="dxa"/>
              <w:bottom w:w="72" w:type="dxa"/>
              <w:right w:w="144" w:type="dxa"/>
            </w:tcMar>
          </w:tcPr>
          <w:p w14:paraId="24FE1A0F" w14:textId="77777777" w:rsidR="00BA17B4" w:rsidRPr="00BF7897" w:rsidRDefault="00BA17B4" w:rsidP="00503DD6">
            <w:pPr>
              <w:pStyle w:val="TableTitleInTable"/>
              <w:jc w:val="center"/>
              <w:rPr>
                <w:b/>
                <w:color w:val="FF5000" w:themeColor="accent6"/>
                <w:sz w:val="20"/>
              </w:rPr>
            </w:pPr>
          </w:p>
        </w:tc>
        <w:tc>
          <w:tcPr>
            <w:tcW w:w="3597" w:type="dxa"/>
            <w:tcBorders>
              <w:top w:val="single" w:sz="18" w:space="0" w:color="08445E" w:themeColor="accent2"/>
              <w:left w:val="nil"/>
              <w:bottom w:val="single" w:sz="18" w:space="0" w:color="08445E" w:themeColor="accent2"/>
              <w:right w:val="nil"/>
            </w:tcBorders>
            <w:shd w:val="clear" w:color="auto" w:fill="E9E9EA"/>
            <w:vAlign w:val="center"/>
          </w:tcPr>
          <w:p w14:paraId="433A6DB1" w14:textId="74FCA181" w:rsidR="00BA17B4" w:rsidRPr="00BF7897" w:rsidRDefault="00BA17B4" w:rsidP="0023046D">
            <w:pPr>
              <w:pStyle w:val="TableTitleInTable"/>
              <w:jc w:val="center"/>
              <w:rPr>
                <w:b/>
                <w:color w:val="FF5000" w:themeColor="accent6"/>
                <w:sz w:val="20"/>
              </w:rPr>
            </w:pPr>
            <w:r>
              <w:rPr>
                <w:b/>
                <w:color w:val="FF5000" w:themeColor="accent6"/>
                <w:sz w:val="20"/>
              </w:rPr>
              <w:t>Focus</w:t>
            </w:r>
          </w:p>
        </w:tc>
        <w:tc>
          <w:tcPr>
            <w:tcW w:w="2182" w:type="dxa"/>
            <w:tcBorders>
              <w:top w:val="single" w:sz="18" w:space="0" w:color="08445E" w:themeColor="accent2"/>
              <w:left w:val="nil"/>
              <w:bottom w:val="single" w:sz="18" w:space="0" w:color="08445E" w:themeColor="accent2"/>
              <w:right w:val="nil"/>
            </w:tcBorders>
            <w:shd w:val="clear" w:color="auto" w:fill="E9E9EA"/>
            <w:vAlign w:val="center"/>
          </w:tcPr>
          <w:p w14:paraId="338EFAA4" w14:textId="4DDBB6B6" w:rsidR="00BA17B4" w:rsidRDefault="0023046D" w:rsidP="0023046D">
            <w:pPr>
              <w:pStyle w:val="TableTitleInTable"/>
              <w:jc w:val="center"/>
              <w:rPr>
                <w:b/>
                <w:color w:val="FF5000" w:themeColor="accent6"/>
                <w:sz w:val="20"/>
              </w:rPr>
            </w:pPr>
            <w:r>
              <w:rPr>
                <w:b/>
                <w:color w:val="FF5000" w:themeColor="accent6"/>
                <w:sz w:val="20"/>
              </w:rPr>
              <w:t>Project Areas</w:t>
            </w:r>
          </w:p>
        </w:tc>
      </w:tr>
      <w:tr w:rsidR="00667A93" w:rsidRPr="00F72A73" w14:paraId="41EA710B" w14:textId="49AFA610" w:rsidTr="007D0F71">
        <w:trPr>
          <w:cantSplit/>
          <w:trHeight w:val="1134"/>
        </w:trPr>
        <w:tc>
          <w:tcPr>
            <w:tcW w:w="1034" w:type="dxa"/>
            <w:tcBorders>
              <w:top w:val="single" w:sz="18" w:space="0" w:color="08445E" w:themeColor="accent2"/>
              <w:left w:val="nil"/>
              <w:bottom w:val="single" w:sz="8" w:space="0" w:color="FF5000" w:themeColor="accent6"/>
              <w:right w:val="nil"/>
            </w:tcBorders>
            <w:shd w:val="clear" w:color="auto" w:fill="FFFFFF" w:themeFill="background1"/>
            <w:tcMar>
              <w:top w:w="72" w:type="dxa"/>
              <w:left w:w="144" w:type="dxa"/>
              <w:bottom w:w="72" w:type="dxa"/>
              <w:right w:w="144" w:type="dxa"/>
            </w:tcMar>
            <w:textDirection w:val="btLr"/>
            <w:vAlign w:val="center"/>
          </w:tcPr>
          <w:p w14:paraId="736AE2FB" w14:textId="2C3046D9" w:rsidR="00BA17B4" w:rsidRPr="0023046D" w:rsidRDefault="00BA17B4" w:rsidP="0023046D">
            <w:pPr>
              <w:pStyle w:val="TableTitleInTable"/>
              <w:ind w:right="113"/>
              <w:jc w:val="center"/>
              <w:rPr>
                <w:rFonts w:ascii="Source Sans Pro" w:eastAsia="Yu Gothic UI" w:hAnsi="Source Sans Pro"/>
                <w:b/>
                <w:bCs/>
                <w:color w:val="052D3F" w:themeColor="accent1"/>
                <w:sz w:val="24"/>
                <w:szCs w:val="44"/>
              </w:rPr>
            </w:pPr>
            <w:r w:rsidRPr="0023046D">
              <w:rPr>
                <w:rFonts w:ascii="Source Sans Pro" w:eastAsia="Yu Gothic UI" w:hAnsi="Source Sans Pro"/>
                <w:b/>
                <w:bCs/>
                <w:color w:val="052D3F" w:themeColor="accent1"/>
                <w:sz w:val="24"/>
                <w:szCs w:val="44"/>
              </w:rPr>
              <w:t>ECO1.</w:t>
            </w:r>
          </w:p>
          <w:p w14:paraId="6692A600" w14:textId="77777777" w:rsidR="00BA17B4" w:rsidRPr="0023046D" w:rsidRDefault="00BA17B4" w:rsidP="0023046D">
            <w:pPr>
              <w:pStyle w:val="TableTitleInTable"/>
              <w:ind w:right="113"/>
              <w:jc w:val="center"/>
              <w:rPr>
                <w:rFonts w:ascii="Source Sans Pro" w:eastAsia="Yu Gothic UI" w:hAnsi="Source Sans Pro"/>
                <w:b/>
                <w:bCs/>
                <w:color w:val="052D3F" w:themeColor="accent1"/>
                <w:sz w:val="24"/>
                <w:szCs w:val="44"/>
                <w:lang w:val="en-US"/>
              </w:rPr>
            </w:pPr>
            <w:r w:rsidRPr="0023046D">
              <w:rPr>
                <w:rFonts w:ascii="Source Sans Pro" w:eastAsia="Yu Gothic UI" w:hAnsi="Source Sans Pro"/>
                <w:b/>
                <w:bCs/>
                <w:color w:val="052D3F" w:themeColor="accent1"/>
                <w:sz w:val="24"/>
                <w:szCs w:val="44"/>
              </w:rPr>
              <w:t>Good Growth Fund</w:t>
            </w:r>
          </w:p>
          <w:p w14:paraId="26BDC5AC" w14:textId="77777777" w:rsidR="00BA17B4" w:rsidRPr="0023046D" w:rsidRDefault="00BA17B4" w:rsidP="0023046D">
            <w:pPr>
              <w:pStyle w:val="TableTitleInTable"/>
              <w:ind w:right="113"/>
              <w:jc w:val="center"/>
              <w:rPr>
                <w:rFonts w:ascii="Source Sans Pro" w:eastAsia="Yu Gothic UI" w:hAnsi="Source Sans Pro"/>
                <w:b/>
                <w:bCs/>
                <w:color w:val="052D3F" w:themeColor="accent1"/>
                <w:sz w:val="24"/>
                <w:szCs w:val="44"/>
              </w:rPr>
            </w:pPr>
          </w:p>
        </w:tc>
        <w:tc>
          <w:tcPr>
            <w:tcW w:w="1890" w:type="dxa"/>
            <w:tcBorders>
              <w:top w:val="single" w:sz="18" w:space="0" w:color="08445E" w:themeColor="accent2"/>
              <w:left w:val="nil"/>
              <w:bottom w:val="single" w:sz="8" w:space="0" w:color="FF5000" w:themeColor="accent6"/>
              <w:right w:val="nil"/>
            </w:tcBorders>
            <w:shd w:val="clear" w:color="auto" w:fill="FFFFFF" w:themeFill="background1"/>
            <w:tcMar>
              <w:top w:w="72" w:type="dxa"/>
              <w:left w:w="144" w:type="dxa"/>
              <w:bottom w:w="72" w:type="dxa"/>
              <w:right w:w="144" w:type="dxa"/>
            </w:tcMar>
          </w:tcPr>
          <w:p w14:paraId="61718798" w14:textId="77777777" w:rsidR="00E057B0" w:rsidRDefault="00BA17B4" w:rsidP="00E057B0">
            <w:pPr>
              <w:pStyle w:val="TableTitleInTable"/>
              <w:ind w:left="0"/>
              <w:rPr>
                <w:rFonts w:ascii="Source Sans Pro" w:eastAsia="Yu Gothic UI" w:hAnsi="Source Sans Pro"/>
                <w:bCs/>
                <w:color w:val="FF5000" w:themeColor="accent6"/>
                <w:sz w:val="20"/>
                <w:szCs w:val="44"/>
              </w:rPr>
            </w:pPr>
            <w:r w:rsidRPr="00BF7897">
              <w:rPr>
                <w:rFonts w:ascii="Source Sans Pro" w:eastAsia="Yu Gothic UI" w:hAnsi="Source Sans Pro"/>
                <w:bCs/>
                <w:color w:val="FF5000" w:themeColor="accent6"/>
                <w:sz w:val="20"/>
                <w:szCs w:val="44"/>
              </w:rPr>
              <w:t>Budget - £22m</w:t>
            </w:r>
          </w:p>
          <w:p w14:paraId="59551539" w14:textId="729BE372" w:rsidR="00BA17B4" w:rsidRPr="00E057B0" w:rsidRDefault="00BA17B4" w:rsidP="00E057B0">
            <w:pPr>
              <w:pStyle w:val="TableTitleInTable"/>
              <w:ind w:left="0"/>
              <w:rPr>
                <w:rFonts w:ascii="Source Sans Pro" w:eastAsia="Yu Gothic UI" w:hAnsi="Source Sans Pro"/>
                <w:b/>
                <w:bCs/>
                <w:color w:val="FF5000" w:themeColor="accent6"/>
                <w:sz w:val="20"/>
                <w:szCs w:val="44"/>
              </w:rPr>
            </w:pPr>
            <w:r w:rsidRPr="00BF7897">
              <w:rPr>
                <w:rFonts w:ascii="Source Sans Pro" w:eastAsia="Yu Gothic UI" w:hAnsi="Source Sans Pro"/>
                <w:bCs/>
                <w:color w:val="052D3F"/>
                <w:sz w:val="20"/>
                <w:szCs w:val="44"/>
              </w:rPr>
              <w:t xml:space="preserve">Focus on building community links and supporting evolution to a more diverse and resilient economy. </w:t>
            </w:r>
          </w:p>
        </w:tc>
        <w:tc>
          <w:tcPr>
            <w:tcW w:w="3597" w:type="dxa"/>
            <w:tcBorders>
              <w:top w:val="single" w:sz="18" w:space="0" w:color="08445E" w:themeColor="accent2"/>
              <w:left w:val="nil"/>
              <w:bottom w:val="single" w:sz="8" w:space="0" w:color="FF5000" w:themeColor="accent6"/>
              <w:right w:val="nil"/>
            </w:tcBorders>
            <w:shd w:val="clear" w:color="auto" w:fill="FFFFFF" w:themeFill="background1"/>
          </w:tcPr>
          <w:p w14:paraId="3206E362" w14:textId="77777777" w:rsidR="00BA17B4" w:rsidRPr="00BF7897" w:rsidRDefault="00BA17B4" w:rsidP="0023046D">
            <w:pPr>
              <w:pStyle w:val="TableTitleInTable"/>
              <w:rPr>
                <w:rFonts w:ascii="Source Sans Pro" w:eastAsia="Yu Gothic UI" w:hAnsi="Source Sans Pro"/>
                <w:bCs/>
                <w:color w:val="FF5000" w:themeColor="accent6"/>
                <w:sz w:val="20"/>
                <w:szCs w:val="44"/>
              </w:rPr>
            </w:pPr>
            <w:r w:rsidRPr="00BF7897">
              <w:rPr>
                <w:rFonts w:ascii="Source Sans Pro" w:eastAsia="Yu Gothic UI" w:hAnsi="Source Sans Pro"/>
                <w:bCs/>
                <w:color w:val="FF5000" w:themeColor="accent6"/>
                <w:sz w:val="20"/>
                <w:szCs w:val="44"/>
              </w:rPr>
              <w:t>Budget – £21m</w:t>
            </w:r>
          </w:p>
          <w:p w14:paraId="301C1F53" w14:textId="61F4C68D" w:rsidR="00BA17B4" w:rsidRPr="00BF7897" w:rsidRDefault="00BA17B4" w:rsidP="0023046D">
            <w:pPr>
              <w:pStyle w:val="TableTitleInTable"/>
              <w:rPr>
                <w:rFonts w:ascii="Source Sans Pro" w:eastAsia="Yu Gothic UI" w:hAnsi="Source Sans Pro"/>
                <w:bCs/>
                <w:color w:val="FF5000" w:themeColor="accent6"/>
                <w:sz w:val="20"/>
                <w:szCs w:val="44"/>
              </w:rPr>
            </w:pPr>
            <w:r w:rsidRPr="00BF7897">
              <w:rPr>
                <w:rFonts w:ascii="Source Sans Pro" w:eastAsia="Yu Gothic UI" w:hAnsi="Source Sans Pro"/>
                <w:bCs/>
                <w:color w:val="052D3F"/>
                <w:sz w:val="20"/>
                <w:szCs w:val="44"/>
              </w:rPr>
              <w:t>Reorientati</w:t>
            </w:r>
            <w:r w:rsidR="009E0CDC">
              <w:rPr>
                <w:rFonts w:ascii="Source Sans Pro" w:eastAsia="Yu Gothic UI" w:hAnsi="Source Sans Pro"/>
                <w:bCs/>
                <w:color w:val="052D3F"/>
                <w:sz w:val="20"/>
                <w:szCs w:val="44"/>
              </w:rPr>
              <w:t>ng</w:t>
            </w:r>
            <w:r w:rsidRPr="00BF7897">
              <w:rPr>
                <w:rFonts w:ascii="Source Sans Pro" w:eastAsia="Yu Gothic UI" w:hAnsi="Source Sans Pro"/>
                <w:bCs/>
                <w:color w:val="052D3F"/>
                <w:sz w:val="20"/>
                <w:szCs w:val="44"/>
              </w:rPr>
              <w:t xml:space="preserve"> funding to balance a ‘traditional’ enabling offer with more risky innovation (challenge) funds linked to urban, social and climate challenges. Opportunity to provide ringfenced investment to support local participation in existing urban/amenity centres. </w:t>
            </w:r>
            <w:r>
              <w:rPr>
                <w:rFonts w:ascii="Source Sans Pro" w:eastAsia="Yu Gothic UI" w:hAnsi="Source Sans Pro"/>
                <w:bCs/>
                <w:color w:val="052D3F"/>
                <w:sz w:val="20"/>
                <w:szCs w:val="44"/>
              </w:rPr>
              <w:t>Support for ‘enabling’ investment across other project areas  to help realise holistic ambitions.</w:t>
            </w:r>
          </w:p>
        </w:tc>
        <w:tc>
          <w:tcPr>
            <w:tcW w:w="2182" w:type="dxa"/>
            <w:tcBorders>
              <w:top w:val="single" w:sz="18" w:space="0" w:color="08445E" w:themeColor="accent2"/>
              <w:left w:val="nil"/>
              <w:bottom w:val="single" w:sz="8" w:space="0" w:color="FF5000" w:themeColor="accent6"/>
              <w:right w:val="nil"/>
            </w:tcBorders>
            <w:shd w:val="clear" w:color="auto" w:fill="FFFFFF" w:themeFill="background1"/>
            <w:vAlign w:val="center"/>
          </w:tcPr>
          <w:p w14:paraId="14CCF0F9" w14:textId="72D3E899" w:rsidR="007A3E52" w:rsidRDefault="007A3E52" w:rsidP="00AB4414">
            <w:pPr>
              <w:pStyle w:val="RDNumbers"/>
              <w:spacing w:before="60" w:after="60"/>
              <w:ind w:left="341" w:hanging="284"/>
              <w:jc w:val="left"/>
              <w:rPr>
                <w:sz w:val="20"/>
              </w:rPr>
            </w:pPr>
            <w:r>
              <w:rPr>
                <w:sz w:val="20"/>
              </w:rPr>
              <w:t>Innovation Hub (</w:t>
            </w:r>
            <w:r w:rsidR="00955BD0">
              <w:rPr>
                <w:sz w:val="20"/>
              </w:rPr>
              <w:t>£4m)</w:t>
            </w:r>
          </w:p>
          <w:p w14:paraId="1A94D2EF" w14:textId="0C07A584" w:rsidR="00BA17B4" w:rsidRPr="008B2027" w:rsidRDefault="00667A93" w:rsidP="00AB4414">
            <w:pPr>
              <w:pStyle w:val="RDNumbers"/>
              <w:spacing w:before="60" w:after="60"/>
              <w:ind w:left="341" w:hanging="284"/>
              <w:jc w:val="left"/>
              <w:rPr>
                <w:sz w:val="20"/>
              </w:rPr>
            </w:pPr>
            <w:r w:rsidRPr="008B2027">
              <w:rPr>
                <w:sz w:val="20"/>
              </w:rPr>
              <w:t>Innovation Challenge Fund</w:t>
            </w:r>
            <w:r w:rsidR="00262327">
              <w:rPr>
                <w:sz w:val="20"/>
              </w:rPr>
              <w:t xml:space="preserve"> (</w:t>
            </w:r>
            <w:r w:rsidR="005E3422">
              <w:rPr>
                <w:sz w:val="20"/>
              </w:rPr>
              <w:t>£4m)</w:t>
            </w:r>
          </w:p>
          <w:p w14:paraId="08AF1216" w14:textId="6BFEEF64" w:rsidR="007C58B8" w:rsidRPr="006F3AC6" w:rsidRDefault="007C58B8" w:rsidP="00262327">
            <w:pPr>
              <w:pStyle w:val="RDNumbers"/>
              <w:spacing w:before="60" w:after="60"/>
              <w:ind w:left="341" w:hanging="284"/>
              <w:jc w:val="left"/>
              <w:rPr>
                <w:sz w:val="20"/>
              </w:rPr>
            </w:pPr>
            <w:r w:rsidRPr="006F3AC6">
              <w:rPr>
                <w:sz w:val="20"/>
              </w:rPr>
              <w:t>Participatory Fund</w:t>
            </w:r>
            <w:r w:rsidR="005E3422" w:rsidRPr="006F3AC6">
              <w:rPr>
                <w:sz w:val="20"/>
              </w:rPr>
              <w:t xml:space="preserve"> (£</w:t>
            </w:r>
            <w:r w:rsidR="00955BD0" w:rsidRPr="006F3AC6">
              <w:rPr>
                <w:sz w:val="20"/>
              </w:rPr>
              <w:t>4</w:t>
            </w:r>
            <w:r w:rsidR="00AD64DE" w:rsidRPr="006F3AC6">
              <w:rPr>
                <w:sz w:val="20"/>
              </w:rPr>
              <w:t>m)</w:t>
            </w:r>
          </w:p>
          <w:p w14:paraId="72827FC9" w14:textId="5EB652DE" w:rsidR="00667A93" w:rsidRPr="00BF7897" w:rsidRDefault="008B2027" w:rsidP="00262327">
            <w:pPr>
              <w:pStyle w:val="RDNumbers"/>
              <w:spacing w:before="60" w:after="60"/>
              <w:ind w:left="341" w:hanging="284"/>
              <w:jc w:val="left"/>
            </w:pPr>
            <w:r w:rsidRPr="006F3AC6">
              <w:rPr>
                <w:sz w:val="20"/>
              </w:rPr>
              <w:t>Core Good Growth Fund</w:t>
            </w:r>
            <w:r w:rsidR="00AD64DE" w:rsidRPr="006F3AC6">
              <w:rPr>
                <w:sz w:val="20"/>
              </w:rPr>
              <w:t xml:space="preserve"> (£</w:t>
            </w:r>
            <w:r w:rsidR="00955BD0" w:rsidRPr="006F3AC6">
              <w:rPr>
                <w:sz w:val="20"/>
              </w:rPr>
              <w:t>9</w:t>
            </w:r>
            <w:r w:rsidR="00AD64DE" w:rsidRPr="006F3AC6">
              <w:rPr>
                <w:sz w:val="20"/>
              </w:rPr>
              <w:t>m)</w:t>
            </w:r>
          </w:p>
        </w:tc>
      </w:tr>
      <w:tr w:rsidR="00667A93" w:rsidRPr="00F72A73" w14:paraId="753A5A5F" w14:textId="43E66239" w:rsidTr="007D0F71">
        <w:trPr>
          <w:cantSplit/>
          <w:trHeight w:val="1134"/>
        </w:trPr>
        <w:tc>
          <w:tcPr>
            <w:tcW w:w="1034" w:type="dxa"/>
            <w:tcBorders>
              <w:top w:val="single" w:sz="18" w:space="0" w:color="08445E" w:themeColor="accent2"/>
              <w:left w:val="nil"/>
              <w:bottom w:val="single" w:sz="8" w:space="0" w:color="FF5000" w:themeColor="accent6"/>
              <w:right w:val="nil"/>
            </w:tcBorders>
            <w:shd w:val="clear" w:color="auto" w:fill="E9E9EA"/>
            <w:tcMar>
              <w:top w:w="72" w:type="dxa"/>
              <w:left w:w="144" w:type="dxa"/>
              <w:bottom w:w="72" w:type="dxa"/>
              <w:right w:w="144" w:type="dxa"/>
            </w:tcMar>
            <w:textDirection w:val="btLr"/>
            <w:vAlign w:val="center"/>
            <w:hideMark/>
          </w:tcPr>
          <w:p w14:paraId="19363FC4" w14:textId="6AF0EFD9" w:rsidR="00BA17B4" w:rsidRPr="0023046D" w:rsidRDefault="00BA17B4" w:rsidP="0023046D">
            <w:pPr>
              <w:pStyle w:val="TableTitleInTable"/>
              <w:ind w:right="113"/>
              <w:jc w:val="center"/>
              <w:rPr>
                <w:rFonts w:ascii="Source Sans Pro" w:eastAsia="Yu Gothic UI" w:hAnsi="Source Sans Pro"/>
                <w:b/>
                <w:bCs/>
                <w:color w:val="052D3F" w:themeColor="accent1"/>
                <w:sz w:val="24"/>
                <w:szCs w:val="44"/>
              </w:rPr>
            </w:pPr>
            <w:r w:rsidRPr="0023046D">
              <w:rPr>
                <w:rFonts w:ascii="Source Sans Pro" w:eastAsia="Yu Gothic UI" w:hAnsi="Source Sans Pro"/>
                <w:b/>
                <w:bCs/>
                <w:color w:val="052D3F" w:themeColor="accent1"/>
                <w:sz w:val="24"/>
                <w:szCs w:val="44"/>
              </w:rPr>
              <w:t>ECO2.</w:t>
            </w:r>
          </w:p>
          <w:p w14:paraId="747185EE" w14:textId="6F283079" w:rsidR="00BA17B4" w:rsidRPr="0023046D" w:rsidRDefault="00BA17B4" w:rsidP="0023046D">
            <w:pPr>
              <w:pStyle w:val="TableTitleInTable"/>
              <w:ind w:right="113"/>
              <w:jc w:val="center"/>
              <w:rPr>
                <w:rFonts w:ascii="Source Sans Pro" w:eastAsia="Yu Gothic UI" w:hAnsi="Source Sans Pro"/>
                <w:b/>
                <w:bCs/>
                <w:color w:val="052D3F" w:themeColor="accent1"/>
                <w:sz w:val="24"/>
                <w:szCs w:val="44"/>
                <w:lang w:val="en-US"/>
              </w:rPr>
            </w:pPr>
            <w:r w:rsidRPr="0023046D">
              <w:rPr>
                <w:rFonts w:ascii="Source Sans Pro" w:eastAsia="Yu Gothic UI" w:hAnsi="Source Sans Pro"/>
                <w:b/>
                <w:bCs/>
                <w:color w:val="052D3F" w:themeColor="accent1"/>
                <w:sz w:val="24"/>
                <w:szCs w:val="44"/>
              </w:rPr>
              <w:t>Employ</w:t>
            </w:r>
            <w:r w:rsidR="00526D5A">
              <w:rPr>
                <w:rFonts w:ascii="Source Sans Pro" w:eastAsia="Yu Gothic UI" w:hAnsi="Source Sans Pro"/>
                <w:b/>
                <w:bCs/>
                <w:color w:val="052D3F" w:themeColor="accent1"/>
                <w:sz w:val="24"/>
                <w:szCs w:val="44"/>
              </w:rPr>
              <w:t>m</w:t>
            </w:r>
            <w:r w:rsidRPr="0023046D">
              <w:rPr>
                <w:rFonts w:ascii="Source Sans Pro" w:eastAsia="Yu Gothic UI" w:hAnsi="Source Sans Pro"/>
                <w:b/>
                <w:bCs/>
                <w:color w:val="052D3F" w:themeColor="accent1"/>
                <w:sz w:val="24"/>
                <w:szCs w:val="44"/>
              </w:rPr>
              <w:t>ent &amp; Skills</w:t>
            </w:r>
          </w:p>
          <w:p w14:paraId="422BE21D" w14:textId="144865A5" w:rsidR="00BA17B4" w:rsidRPr="0023046D" w:rsidRDefault="00BA17B4" w:rsidP="0023046D">
            <w:pPr>
              <w:pStyle w:val="TableTitleInTable"/>
              <w:ind w:right="113"/>
              <w:jc w:val="center"/>
              <w:rPr>
                <w:rFonts w:ascii="Source Sans Pro" w:eastAsia="Yu Gothic UI" w:hAnsi="Source Sans Pro"/>
                <w:b/>
                <w:bCs/>
                <w:color w:val="052D3F" w:themeColor="accent1"/>
                <w:sz w:val="24"/>
                <w:szCs w:val="44"/>
                <w:lang w:val="en-US"/>
              </w:rPr>
            </w:pPr>
          </w:p>
        </w:tc>
        <w:tc>
          <w:tcPr>
            <w:tcW w:w="1890" w:type="dxa"/>
            <w:tcBorders>
              <w:top w:val="single" w:sz="18" w:space="0" w:color="08445E" w:themeColor="accent2"/>
              <w:left w:val="nil"/>
              <w:bottom w:val="single" w:sz="8" w:space="0" w:color="FF5000" w:themeColor="accent6"/>
              <w:right w:val="nil"/>
            </w:tcBorders>
            <w:shd w:val="clear" w:color="auto" w:fill="E9E9EA"/>
            <w:tcMar>
              <w:top w:w="72" w:type="dxa"/>
              <w:left w:w="144" w:type="dxa"/>
              <w:bottom w:w="72" w:type="dxa"/>
              <w:right w:w="144" w:type="dxa"/>
            </w:tcMar>
            <w:hideMark/>
          </w:tcPr>
          <w:p w14:paraId="7F069AE9" w14:textId="67F78838" w:rsidR="00BA17B4" w:rsidRPr="00BF7897" w:rsidRDefault="00BA17B4" w:rsidP="00E057B0">
            <w:pPr>
              <w:pStyle w:val="TableTitleInTable"/>
              <w:ind w:left="0"/>
              <w:rPr>
                <w:rFonts w:ascii="Source Sans Pro" w:eastAsia="Yu Gothic UI" w:hAnsi="Source Sans Pro"/>
                <w:bCs/>
                <w:color w:val="FF5000" w:themeColor="accent6"/>
                <w:sz w:val="20"/>
                <w:szCs w:val="44"/>
              </w:rPr>
            </w:pPr>
            <w:r w:rsidRPr="00BF7897">
              <w:rPr>
                <w:rFonts w:ascii="Source Sans Pro" w:eastAsia="Yu Gothic UI" w:hAnsi="Source Sans Pro"/>
                <w:bCs/>
                <w:color w:val="FF5000" w:themeColor="accent6"/>
                <w:sz w:val="20"/>
                <w:szCs w:val="44"/>
              </w:rPr>
              <w:t>Budget - £4m</w:t>
            </w:r>
          </w:p>
          <w:p w14:paraId="288E46AE" w14:textId="3F5CD8D7" w:rsidR="00BA17B4" w:rsidRPr="00BF7897" w:rsidRDefault="00BA17B4" w:rsidP="00E057B0">
            <w:pPr>
              <w:pStyle w:val="TableTitleInTable"/>
              <w:ind w:left="0"/>
              <w:rPr>
                <w:rFonts w:ascii="Source Sans Pro" w:eastAsia="Yu Gothic UI" w:hAnsi="Source Sans Pro"/>
                <w:bCs/>
                <w:color w:val="052D3F"/>
                <w:sz w:val="20"/>
                <w:szCs w:val="44"/>
                <w:lang w:val="en-US"/>
              </w:rPr>
            </w:pPr>
            <w:r w:rsidRPr="00BF7897">
              <w:rPr>
                <w:rFonts w:ascii="Source Sans Pro" w:eastAsia="Yu Gothic UI" w:hAnsi="Source Sans Pro"/>
                <w:bCs/>
                <w:color w:val="052D3F"/>
                <w:sz w:val="20"/>
                <w:szCs w:val="44"/>
              </w:rPr>
              <w:t xml:space="preserve">Jobs brokerage, training, internships and advice – focus on higher skilled employment opportunities and Workplace Plus concept. </w:t>
            </w:r>
          </w:p>
        </w:tc>
        <w:tc>
          <w:tcPr>
            <w:tcW w:w="3597" w:type="dxa"/>
            <w:tcBorders>
              <w:top w:val="single" w:sz="18" w:space="0" w:color="08445E" w:themeColor="accent2"/>
              <w:left w:val="nil"/>
              <w:bottom w:val="single" w:sz="8" w:space="0" w:color="FF5000" w:themeColor="accent6"/>
              <w:right w:val="nil"/>
            </w:tcBorders>
            <w:shd w:val="clear" w:color="auto" w:fill="E9E9EA"/>
          </w:tcPr>
          <w:p w14:paraId="47869FF5" w14:textId="77777777" w:rsidR="00BA17B4" w:rsidRPr="00BF7897" w:rsidRDefault="00BA17B4" w:rsidP="0023046D">
            <w:pPr>
              <w:pStyle w:val="TableTitleInTable"/>
              <w:rPr>
                <w:rFonts w:ascii="Source Sans Pro" w:eastAsia="Yu Gothic UI" w:hAnsi="Source Sans Pro"/>
                <w:bCs/>
                <w:color w:val="FF5000" w:themeColor="accent6"/>
                <w:sz w:val="20"/>
                <w:szCs w:val="44"/>
              </w:rPr>
            </w:pPr>
            <w:r w:rsidRPr="00BF7897">
              <w:rPr>
                <w:rFonts w:ascii="Source Sans Pro" w:eastAsia="Yu Gothic UI" w:hAnsi="Source Sans Pro"/>
                <w:bCs/>
                <w:color w:val="FF5000" w:themeColor="accent6"/>
                <w:sz w:val="20"/>
                <w:szCs w:val="44"/>
              </w:rPr>
              <w:t xml:space="preserve">Budget – £7m </w:t>
            </w:r>
          </w:p>
          <w:p w14:paraId="696B556F" w14:textId="33855A77" w:rsidR="00BA17B4" w:rsidRPr="00BF7897" w:rsidRDefault="00BA17B4" w:rsidP="0023046D">
            <w:pPr>
              <w:pStyle w:val="TableTitleInTable"/>
              <w:rPr>
                <w:rFonts w:ascii="Source Sans Pro" w:eastAsia="Yu Gothic UI" w:hAnsi="Source Sans Pro"/>
                <w:bCs/>
                <w:color w:val="052D3F"/>
                <w:sz w:val="20"/>
                <w:szCs w:val="44"/>
              </w:rPr>
            </w:pPr>
            <w:r w:rsidRPr="00BF7897">
              <w:rPr>
                <w:rFonts w:ascii="Source Sans Pro" w:eastAsia="Yu Gothic UI" w:hAnsi="Source Sans Pro"/>
                <w:bCs/>
                <w:color w:val="052D3F"/>
                <w:sz w:val="20"/>
                <w:szCs w:val="44"/>
              </w:rPr>
              <w:t xml:space="preserve">An opportunity to pilot a reformed </w:t>
            </w:r>
            <w:r>
              <w:rPr>
                <w:rFonts w:ascii="Source Sans Pro" w:eastAsia="Yu Gothic UI" w:hAnsi="Source Sans Pro"/>
                <w:bCs/>
                <w:color w:val="052D3F"/>
                <w:sz w:val="20"/>
                <w:szCs w:val="44"/>
              </w:rPr>
              <w:t>Newham W</w:t>
            </w:r>
            <w:r w:rsidRPr="00BF7897">
              <w:rPr>
                <w:rFonts w:ascii="Source Sans Pro" w:eastAsia="Yu Gothic UI" w:hAnsi="Source Sans Pro"/>
                <w:bCs/>
                <w:color w:val="052D3F"/>
                <w:sz w:val="20"/>
                <w:szCs w:val="44"/>
              </w:rPr>
              <w:t xml:space="preserve">orkplace product, based on </w:t>
            </w:r>
            <w:r>
              <w:rPr>
                <w:rFonts w:ascii="Source Sans Pro" w:eastAsia="Yu Gothic UI" w:hAnsi="Source Sans Pro"/>
                <w:bCs/>
                <w:color w:val="052D3F"/>
                <w:sz w:val="20"/>
                <w:szCs w:val="44"/>
              </w:rPr>
              <w:t>r</w:t>
            </w:r>
            <w:r w:rsidRPr="00BF7897">
              <w:rPr>
                <w:rFonts w:ascii="Source Sans Pro" w:eastAsia="Yu Gothic UI" w:hAnsi="Source Sans Pro"/>
                <w:bCs/>
                <w:color w:val="052D3F"/>
                <w:sz w:val="20"/>
                <w:szCs w:val="44"/>
              </w:rPr>
              <w:t>eview of delivery</w:t>
            </w:r>
            <w:r>
              <w:rPr>
                <w:rFonts w:ascii="Source Sans Pro" w:eastAsia="Yu Gothic UI" w:hAnsi="Source Sans Pro"/>
                <w:bCs/>
                <w:color w:val="052D3F"/>
                <w:sz w:val="20"/>
                <w:szCs w:val="44"/>
              </w:rPr>
              <w:t xml:space="preserve"> currently underway</w:t>
            </w:r>
            <w:r w:rsidRPr="00BF7897">
              <w:rPr>
                <w:rFonts w:ascii="Source Sans Pro" w:eastAsia="Yu Gothic UI" w:hAnsi="Source Sans Pro"/>
                <w:bCs/>
                <w:color w:val="052D3F"/>
                <w:sz w:val="20"/>
                <w:szCs w:val="44"/>
              </w:rPr>
              <w:t xml:space="preserve">. Providing a great range of experience and opportunities for candidates as well as enabling SMEs to better engage with the programmes. Activity will be co-curated with young people as well as levering in enhanced engagement of local businesses. </w:t>
            </w:r>
          </w:p>
        </w:tc>
        <w:tc>
          <w:tcPr>
            <w:tcW w:w="2182" w:type="dxa"/>
            <w:tcBorders>
              <w:top w:val="single" w:sz="18" w:space="0" w:color="08445E" w:themeColor="accent2"/>
              <w:left w:val="nil"/>
              <w:bottom w:val="single" w:sz="8" w:space="0" w:color="FF5000" w:themeColor="accent6"/>
              <w:right w:val="nil"/>
            </w:tcBorders>
            <w:shd w:val="clear" w:color="auto" w:fill="E9E9EA"/>
            <w:vAlign w:val="center"/>
          </w:tcPr>
          <w:p w14:paraId="029027BE" w14:textId="77777777" w:rsidR="001B746D" w:rsidRPr="001B746D" w:rsidRDefault="001B746D" w:rsidP="00185A28">
            <w:pPr>
              <w:pStyle w:val="RDNumbers"/>
              <w:numPr>
                <w:ilvl w:val="0"/>
                <w:numId w:val="37"/>
              </w:numPr>
              <w:spacing w:before="60" w:after="60"/>
              <w:ind w:left="341" w:hanging="284"/>
              <w:jc w:val="left"/>
              <w:rPr>
                <w:sz w:val="20"/>
              </w:rPr>
            </w:pPr>
            <w:r w:rsidRPr="001B746D">
              <w:rPr>
                <w:sz w:val="20"/>
              </w:rPr>
              <w:t xml:space="preserve">Staff resource for coordination </w:t>
            </w:r>
          </w:p>
          <w:p w14:paraId="6F52A0E9" w14:textId="60FEB493" w:rsidR="001B746D" w:rsidRPr="001B746D" w:rsidRDefault="001B746D" w:rsidP="00185A28">
            <w:pPr>
              <w:pStyle w:val="RDNumbers"/>
              <w:numPr>
                <w:ilvl w:val="0"/>
                <w:numId w:val="37"/>
              </w:numPr>
              <w:spacing w:before="60" w:after="60"/>
              <w:ind w:left="341" w:hanging="284"/>
              <w:jc w:val="left"/>
              <w:rPr>
                <w:sz w:val="20"/>
              </w:rPr>
            </w:pPr>
            <w:r>
              <w:rPr>
                <w:sz w:val="20"/>
              </w:rPr>
              <w:t>I</w:t>
            </w:r>
            <w:r w:rsidRPr="001B746D">
              <w:rPr>
                <w:sz w:val="20"/>
              </w:rPr>
              <w:t xml:space="preserve">nternship </w:t>
            </w:r>
            <w:r>
              <w:rPr>
                <w:sz w:val="20"/>
              </w:rPr>
              <w:t>&amp;</w:t>
            </w:r>
            <w:r w:rsidRPr="001B746D">
              <w:rPr>
                <w:sz w:val="20"/>
              </w:rPr>
              <w:t xml:space="preserve"> apprenticeship pilot</w:t>
            </w:r>
          </w:p>
          <w:p w14:paraId="4FF3FCFC" w14:textId="0FDF6BB3" w:rsidR="001B746D" w:rsidRPr="001B746D" w:rsidRDefault="001B746D" w:rsidP="00185A28">
            <w:pPr>
              <w:pStyle w:val="RDNumbers"/>
              <w:numPr>
                <w:ilvl w:val="0"/>
                <w:numId w:val="37"/>
              </w:numPr>
              <w:spacing w:before="60" w:after="60"/>
              <w:ind w:left="341" w:hanging="284"/>
              <w:jc w:val="left"/>
              <w:rPr>
                <w:sz w:val="20"/>
              </w:rPr>
            </w:pPr>
            <w:r w:rsidRPr="001B746D">
              <w:rPr>
                <w:sz w:val="20"/>
              </w:rPr>
              <w:t xml:space="preserve">Careers engagement with schools </w:t>
            </w:r>
          </w:p>
          <w:p w14:paraId="7852EBA9" w14:textId="5E3D3094" w:rsidR="00BA17B4" w:rsidRPr="00BF7897" w:rsidRDefault="001B746D" w:rsidP="00185A28">
            <w:pPr>
              <w:pStyle w:val="RDNumbers"/>
              <w:numPr>
                <w:ilvl w:val="0"/>
                <w:numId w:val="37"/>
              </w:numPr>
              <w:spacing w:before="60" w:after="60"/>
              <w:ind w:left="341" w:hanging="284"/>
              <w:jc w:val="left"/>
              <w:rPr>
                <w:color w:val="FF5000" w:themeColor="accent6"/>
                <w:sz w:val="20"/>
                <w:szCs w:val="44"/>
              </w:rPr>
            </w:pPr>
            <w:r w:rsidRPr="001B746D">
              <w:rPr>
                <w:sz w:val="20"/>
              </w:rPr>
              <w:t>Piloting new outreach</w:t>
            </w:r>
          </w:p>
        </w:tc>
      </w:tr>
      <w:tr w:rsidR="00667A93" w:rsidRPr="00F72A73" w14:paraId="66C9C215" w14:textId="24F460FB" w:rsidTr="007D0F71">
        <w:trPr>
          <w:cantSplit/>
          <w:trHeight w:val="1134"/>
        </w:trPr>
        <w:tc>
          <w:tcPr>
            <w:tcW w:w="1034"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textDirection w:val="btLr"/>
            <w:vAlign w:val="center"/>
            <w:hideMark/>
          </w:tcPr>
          <w:p w14:paraId="077B26A6" w14:textId="75CCA034" w:rsidR="00BA17B4" w:rsidRPr="0023046D" w:rsidRDefault="00BA17B4" w:rsidP="0023046D">
            <w:pPr>
              <w:pStyle w:val="TableTitleInTable"/>
              <w:ind w:right="113"/>
              <w:jc w:val="center"/>
              <w:rPr>
                <w:rFonts w:ascii="Source Sans Pro" w:eastAsia="Yu Gothic UI" w:hAnsi="Source Sans Pro"/>
                <w:b/>
                <w:bCs/>
                <w:color w:val="052D3F" w:themeColor="accent1"/>
                <w:sz w:val="24"/>
                <w:szCs w:val="44"/>
              </w:rPr>
            </w:pPr>
            <w:r w:rsidRPr="0023046D">
              <w:rPr>
                <w:rFonts w:ascii="Source Sans Pro" w:eastAsia="Yu Gothic UI" w:hAnsi="Source Sans Pro"/>
                <w:b/>
                <w:bCs/>
                <w:color w:val="052D3F" w:themeColor="accent1"/>
                <w:sz w:val="24"/>
                <w:szCs w:val="44"/>
              </w:rPr>
              <w:t>ECO3.</w:t>
            </w:r>
          </w:p>
          <w:p w14:paraId="417E38E6" w14:textId="22C555D9" w:rsidR="00BA17B4" w:rsidRPr="0023046D" w:rsidRDefault="00BA17B4" w:rsidP="0023046D">
            <w:pPr>
              <w:pStyle w:val="TableTitleInTable"/>
              <w:ind w:right="113"/>
              <w:jc w:val="center"/>
              <w:rPr>
                <w:rFonts w:ascii="Source Sans Pro" w:eastAsia="Yu Gothic UI" w:hAnsi="Source Sans Pro"/>
                <w:b/>
                <w:bCs/>
                <w:color w:val="052D3F" w:themeColor="accent1"/>
                <w:sz w:val="24"/>
                <w:szCs w:val="44"/>
                <w:lang w:val="en-US"/>
              </w:rPr>
            </w:pPr>
            <w:r w:rsidRPr="0023046D">
              <w:rPr>
                <w:rFonts w:ascii="Source Sans Pro" w:eastAsia="Yu Gothic UI" w:hAnsi="Source Sans Pro"/>
                <w:b/>
                <w:bCs/>
                <w:color w:val="052D3F" w:themeColor="accent1"/>
                <w:sz w:val="24"/>
                <w:szCs w:val="44"/>
              </w:rPr>
              <w:t>Business Support</w:t>
            </w:r>
          </w:p>
        </w:tc>
        <w:tc>
          <w:tcPr>
            <w:tcW w:w="189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hideMark/>
          </w:tcPr>
          <w:p w14:paraId="66F3F1B2" w14:textId="3F3C3CF9" w:rsidR="00BA17B4" w:rsidRPr="00BF7897" w:rsidRDefault="00BA17B4" w:rsidP="00E057B0">
            <w:pPr>
              <w:pStyle w:val="TableTitleInTable"/>
              <w:ind w:left="0"/>
              <w:rPr>
                <w:rFonts w:ascii="Source Sans Pro" w:eastAsia="Yu Gothic UI" w:hAnsi="Source Sans Pro"/>
                <w:bCs/>
                <w:color w:val="FF5000" w:themeColor="accent6"/>
                <w:sz w:val="20"/>
                <w:szCs w:val="44"/>
              </w:rPr>
            </w:pPr>
            <w:r w:rsidRPr="00BF7897">
              <w:rPr>
                <w:rFonts w:ascii="Source Sans Pro" w:eastAsia="Yu Gothic UI" w:hAnsi="Source Sans Pro"/>
                <w:bCs/>
                <w:color w:val="FF5000" w:themeColor="accent6"/>
                <w:sz w:val="20"/>
                <w:szCs w:val="44"/>
              </w:rPr>
              <w:t xml:space="preserve">Budget </w:t>
            </w:r>
            <w:r w:rsidR="00A92D74">
              <w:rPr>
                <w:rFonts w:ascii="Source Sans Pro" w:eastAsia="Yu Gothic UI" w:hAnsi="Source Sans Pro"/>
                <w:bCs/>
                <w:color w:val="FF5000" w:themeColor="accent6"/>
                <w:sz w:val="20"/>
                <w:szCs w:val="44"/>
              </w:rPr>
              <w:t>–</w:t>
            </w:r>
            <w:r w:rsidRPr="00BF7897">
              <w:rPr>
                <w:rFonts w:ascii="Source Sans Pro" w:eastAsia="Yu Gothic UI" w:hAnsi="Source Sans Pro"/>
                <w:bCs/>
                <w:color w:val="FF5000" w:themeColor="accent6"/>
                <w:sz w:val="20"/>
                <w:szCs w:val="44"/>
              </w:rPr>
              <w:t xml:space="preserve"> </w:t>
            </w:r>
            <w:r w:rsidR="00A92D74">
              <w:rPr>
                <w:rFonts w:ascii="Source Sans Pro" w:eastAsia="Yu Gothic UI" w:hAnsi="Source Sans Pro"/>
                <w:bCs/>
                <w:color w:val="FF5000" w:themeColor="accent6"/>
                <w:sz w:val="20"/>
                <w:szCs w:val="44"/>
              </w:rPr>
              <w:t>c.</w:t>
            </w:r>
            <w:r w:rsidRPr="00BF7897">
              <w:rPr>
                <w:rFonts w:ascii="Source Sans Pro" w:eastAsia="Yu Gothic UI" w:hAnsi="Source Sans Pro"/>
                <w:bCs/>
                <w:color w:val="FF5000" w:themeColor="accent6"/>
                <w:sz w:val="20"/>
                <w:szCs w:val="44"/>
              </w:rPr>
              <w:t>£9.</w:t>
            </w:r>
            <w:r w:rsidR="006F3AC6">
              <w:rPr>
                <w:rFonts w:ascii="Source Sans Pro" w:eastAsia="Yu Gothic UI" w:hAnsi="Source Sans Pro"/>
                <w:bCs/>
                <w:color w:val="FF5000" w:themeColor="accent6"/>
                <w:sz w:val="20"/>
                <w:szCs w:val="44"/>
              </w:rPr>
              <w:t>9</w:t>
            </w:r>
            <w:r w:rsidRPr="00BF7897">
              <w:rPr>
                <w:rFonts w:ascii="Source Sans Pro" w:eastAsia="Yu Gothic UI" w:hAnsi="Source Sans Pro"/>
                <w:bCs/>
                <w:color w:val="FF5000" w:themeColor="accent6"/>
                <w:sz w:val="20"/>
                <w:szCs w:val="44"/>
              </w:rPr>
              <w:t xml:space="preserve">m </w:t>
            </w:r>
          </w:p>
          <w:p w14:paraId="2259B6E2" w14:textId="3A9AFD4B" w:rsidR="00BA17B4" w:rsidRPr="00BF7897" w:rsidRDefault="00BA17B4" w:rsidP="00E057B0">
            <w:pPr>
              <w:pStyle w:val="TableTitleInTable"/>
              <w:ind w:left="0"/>
              <w:rPr>
                <w:rFonts w:ascii="Source Sans Pro" w:eastAsia="Yu Gothic UI" w:hAnsi="Source Sans Pro"/>
                <w:bCs/>
                <w:color w:val="052D3F"/>
                <w:sz w:val="20"/>
                <w:szCs w:val="44"/>
                <w:lang w:val="en-US"/>
              </w:rPr>
            </w:pPr>
            <w:r w:rsidRPr="00BF7897">
              <w:rPr>
                <w:rFonts w:ascii="Source Sans Pro" w:eastAsia="Yu Gothic UI" w:hAnsi="Source Sans Pro"/>
                <w:bCs/>
                <w:color w:val="052D3F"/>
                <w:sz w:val="20"/>
                <w:szCs w:val="44"/>
              </w:rPr>
              <w:t xml:space="preserve">Support to retain and attract businesses, with focus on SMEs. Business ambassadors programme, business support programme, £5m grant / loan programme. </w:t>
            </w:r>
          </w:p>
        </w:tc>
        <w:tc>
          <w:tcPr>
            <w:tcW w:w="3597" w:type="dxa"/>
            <w:tcBorders>
              <w:top w:val="single" w:sz="8" w:space="0" w:color="FF5000" w:themeColor="accent6"/>
              <w:left w:val="nil"/>
              <w:bottom w:val="single" w:sz="8" w:space="0" w:color="FF5000" w:themeColor="accent6"/>
              <w:right w:val="nil"/>
            </w:tcBorders>
          </w:tcPr>
          <w:p w14:paraId="0E21B556" w14:textId="6DE7EDC1" w:rsidR="00BA17B4" w:rsidRPr="00BF7897" w:rsidRDefault="00BA17B4" w:rsidP="0023046D">
            <w:pPr>
              <w:pStyle w:val="TableTitleInTable"/>
              <w:rPr>
                <w:rFonts w:ascii="Source Sans Pro" w:eastAsia="Yu Gothic UI" w:hAnsi="Source Sans Pro"/>
                <w:bCs/>
                <w:color w:val="FF5000" w:themeColor="accent6"/>
                <w:sz w:val="20"/>
                <w:szCs w:val="44"/>
              </w:rPr>
            </w:pPr>
            <w:r w:rsidRPr="00BF7897">
              <w:rPr>
                <w:rFonts w:ascii="Source Sans Pro" w:eastAsia="Yu Gothic UI" w:hAnsi="Source Sans Pro"/>
                <w:bCs/>
                <w:color w:val="FF5000" w:themeColor="accent6"/>
                <w:sz w:val="20"/>
                <w:szCs w:val="44"/>
              </w:rPr>
              <w:t xml:space="preserve">Budget – </w:t>
            </w:r>
            <w:r w:rsidR="00A92D74">
              <w:rPr>
                <w:rFonts w:ascii="Source Sans Pro" w:eastAsia="Yu Gothic UI" w:hAnsi="Source Sans Pro"/>
                <w:bCs/>
                <w:color w:val="FF5000" w:themeColor="accent6"/>
                <w:sz w:val="20"/>
                <w:szCs w:val="44"/>
              </w:rPr>
              <w:t>c.</w:t>
            </w:r>
            <w:r w:rsidRPr="00BF7897">
              <w:rPr>
                <w:rFonts w:ascii="Source Sans Pro" w:eastAsia="Yu Gothic UI" w:hAnsi="Source Sans Pro"/>
                <w:bCs/>
                <w:color w:val="FF5000" w:themeColor="accent6"/>
                <w:sz w:val="20"/>
                <w:szCs w:val="44"/>
              </w:rPr>
              <w:t>£8.</w:t>
            </w:r>
            <w:r w:rsidR="006F3AC6">
              <w:rPr>
                <w:rFonts w:ascii="Source Sans Pro" w:eastAsia="Yu Gothic UI" w:hAnsi="Source Sans Pro"/>
                <w:bCs/>
                <w:color w:val="FF5000" w:themeColor="accent6"/>
                <w:sz w:val="20"/>
                <w:szCs w:val="44"/>
              </w:rPr>
              <w:t>9</w:t>
            </w:r>
            <w:r w:rsidRPr="00BF7897">
              <w:rPr>
                <w:rFonts w:ascii="Source Sans Pro" w:eastAsia="Yu Gothic UI" w:hAnsi="Source Sans Pro"/>
                <w:bCs/>
                <w:color w:val="FF5000" w:themeColor="accent6"/>
                <w:sz w:val="20"/>
                <w:szCs w:val="44"/>
              </w:rPr>
              <w:t xml:space="preserve">m </w:t>
            </w:r>
          </w:p>
          <w:p w14:paraId="6C337281" w14:textId="409779A0" w:rsidR="00BA17B4" w:rsidRPr="00BF7897" w:rsidRDefault="00BA17B4" w:rsidP="0023046D">
            <w:pPr>
              <w:pStyle w:val="TableTitleInTable"/>
              <w:rPr>
                <w:rFonts w:ascii="Source Sans Pro" w:eastAsia="Yu Gothic UI" w:hAnsi="Source Sans Pro"/>
                <w:bCs/>
                <w:color w:val="052D3F"/>
                <w:sz w:val="20"/>
                <w:szCs w:val="44"/>
              </w:rPr>
            </w:pPr>
            <w:r w:rsidRPr="00BF7897">
              <w:rPr>
                <w:rFonts w:ascii="Source Sans Pro" w:eastAsia="Yu Gothic UI" w:hAnsi="Source Sans Pro"/>
                <w:bCs/>
                <w:color w:val="052D3F"/>
                <w:sz w:val="20"/>
                <w:szCs w:val="44"/>
              </w:rPr>
              <w:t xml:space="preserve">A Programme more focused on stimulating business growth within the Royal Docks by drawing in cohorts of high growth microbusinesses and international SMEs – with a potential focus on green innovation. Closer links to the provision of space, particularly for Youth Enterprise, with enhanced involvement of developers and landowners providing space. Specific resource to support ongoing dialogue and engagement with business. </w:t>
            </w:r>
          </w:p>
        </w:tc>
        <w:tc>
          <w:tcPr>
            <w:tcW w:w="2182" w:type="dxa"/>
            <w:tcBorders>
              <w:top w:val="single" w:sz="8" w:space="0" w:color="FF5000" w:themeColor="accent6"/>
              <w:left w:val="nil"/>
              <w:bottom w:val="single" w:sz="8" w:space="0" w:color="FF5000" w:themeColor="accent6"/>
              <w:right w:val="nil"/>
            </w:tcBorders>
            <w:vAlign w:val="center"/>
          </w:tcPr>
          <w:p w14:paraId="05B9C095" w14:textId="1A86828B" w:rsidR="00A1451D" w:rsidRPr="006F3AC6" w:rsidRDefault="006F3AC6" w:rsidP="00185A28">
            <w:pPr>
              <w:pStyle w:val="RDNumbers"/>
              <w:numPr>
                <w:ilvl w:val="0"/>
                <w:numId w:val="42"/>
              </w:numPr>
              <w:spacing w:before="60" w:after="60"/>
              <w:ind w:left="425" w:hanging="304"/>
              <w:jc w:val="left"/>
              <w:rPr>
                <w:sz w:val="20"/>
              </w:rPr>
            </w:pPr>
            <w:r w:rsidRPr="006F3AC6">
              <w:rPr>
                <w:sz w:val="20"/>
              </w:rPr>
              <w:t>Green Business Accelerator Programme</w:t>
            </w:r>
            <w:r w:rsidR="004C6063" w:rsidRPr="006F3AC6">
              <w:rPr>
                <w:sz w:val="20"/>
              </w:rPr>
              <w:t xml:space="preserve"> (</w:t>
            </w:r>
            <w:r>
              <w:rPr>
                <w:sz w:val="20"/>
              </w:rPr>
              <w:t>£6</w:t>
            </w:r>
            <w:r w:rsidR="00962FD5" w:rsidRPr="006F3AC6">
              <w:rPr>
                <w:sz w:val="20"/>
              </w:rPr>
              <w:t>m)</w:t>
            </w:r>
          </w:p>
          <w:p w14:paraId="4D7E24D6" w14:textId="69FD2A6C" w:rsidR="00A414F7" w:rsidRPr="006F3AC6" w:rsidRDefault="00A414F7" w:rsidP="00185A28">
            <w:pPr>
              <w:pStyle w:val="RDNumbers"/>
              <w:numPr>
                <w:ilvl w:val="0"/>
                <w:numId w:val="42"/>
              </w:numPr>
              <w:spacing w:before="60" w:after="60"/>
              <w:ind w:left="425" w:hanging="304"/>
              <w:jc w:val="left"/>
              <w:rPr>
                <w:bCs w:val="0"/>
                <w:color w:val="FF5000" w:themeColor="accent6"/>
                <w:sz w:val="20"/>
                <w:szCs w:val="44"/>
              </w:rPr>
            </w:pPr>
            <w:r w:rsidRPr="006F3AC6">
              <w:rPr>
                <w:sz w:val="20"/>
              </w:rPr>
              <w:t>Green and social loan fund (£2m)</w:t>
            </w:r>
          </w:p>
          <w:p w14:paraId="4E3945CA" w14:textId="73F4604F" w:rsidR="00BA17B4" w:rsidRPr="006F3AC6" w:rsidRDefault="006F3AC6" w:rsidP="00185A28">
            <w:pPr>
              <w:pStyle w:val="RDNumbers"/>
              <w:numPr>
                <w:ilvl w:val="0"/>
                <w:numId w:val="42"/>
              </w:numPr>
              <w:spacing w:before="60" w:after="60"/>
              <w:ind w:left="425" w:hanging="304"/>
              <w:jc w:val="left"/>
              <w:rPr>
                <w:bCs w:val="0"/>
                <w:color w:val="FF5000" w:themeColor="accent6"/>
                <w:sz w:val="20"/>
                <w:szCs w:val="44"/>
              </w:rPr>
            </w:pPr>
            <w:r w:rsidRPr="006F3AC6">
              <w:rPr>
                <w:sz w:val="20"/>
              </w:rPr>
              <w:t>Business Connectors</w:t>
            </w:r>
            <w:r w:rsidR="00962FD5" w:rsidRPr="006F3AC6">
              <w:rPr>
                <w:sz w:val="20"/>
              </w:rPr>
              <w:t xml:space="preserve"> (c.£</w:t>
            </w:r>
            <w:r>
              <w:rPr>
                <w:sz w:val="20"/>
              </w:rPr>
              <w:t>900k</w:t>
            </w:r>
            <w:r w:rsidR="00962FD5" w:rsidRPr="006F3AC6">
              <w:rPr>
                <w:sz w:val="20"/>
              </w:rPr>
              <w:t>)</w:t>
            </w:r>
          </w:p>
        </w:tc>
      </w:tr>
      <w:tr w:rsidR="00667A93" w:rsidRPr="00F72A73" w14:paraId="6846BEE9" w14:textId="34AA9015" w:rsidTr="007D0F71">
        <w:trPr>
          <w:cantSplit/>
          <w:trHeight w:val="1134"/>
        </w:trPr>
        <w:tc>
          <w:tcPr>
            <w:tcW w:w="1034" w:type="dxa"/>
            <w:tcBorders>
              <w:top w:val="single" w:sz="8" w:space="0" w:color="FF5000" w:themeColor="accent6"/>
              <w:left w:val="nil"/>
              <w:bottom w:val="single" w:sz="8" w:space="0" w:color="FF5000" w:themeColor="accent6"/>
              <w:right w:val="nil"/>
            </w:tcBorders>
            <w:shd w:val="clear" w:color="auto" w:fill="E9E9EA"/>
            <w:tcMar>
              <w:top w:w="72" w:type="dxa"/>
              <w:left w:w="144" w:type="dxa"/>
              <w:bottom w:w="72" w:type="dxa"/>
              <w:right w:w="144" w:type="dxa"/>
            </w:tcMar>
            <w:textDirection w:val="btLr"/>
            <w:vAlign w:val="center"/>
            <w:hideMark/>
          </w:tcPr>
          <w:p w14:paraId="53B765FF" w14:textId="494D6CD7" w:rsidR="00BA17B4" w:rsidRPr="0023046D" w:rsidRDefault="00BA17B4" w:rsidP="0023046D">
            <w:pPr>
              <w:pStyle w:val="TableTitleInTable"/>
              <w:ind w:right="113"/>
              <w:jc w:val="center"/>
              <w:rPr>
                <w:rFonts w:ascii="Source Sans Pro" w:eastAsia="Yu Gothic UI" w:hAnsi="Source Sans Pro"/>
                <w:b/>
                <w:bCs/>
                <w:color w:val="052D3F" w:themeColor="accent1"/>
                <w:sz w:val="24"/>
                <w:szCs w:val="44"/>
              </w:rPr>
            </w:pPr>
            <w:r w:rsidRPr="0023046D">
              <w:rPr>
                <w:rFonts w:ascii="Source Sans Pro" w:eastAsia="Yu Gothic UI" w:hAnsi="Source Sans Pro"/>
                <w:b/>
                <w:bCs/>
                <w:color w:val="052D3F" w:themeColor="accent1"/>
                <w:sz w:val="24"/>
                <w:szCs w:val="44"/>
              </w:rPr>
              <w:t>ECO4.</w:t>
            </w:r>
          </w:p>
          <w:p w14:paraId="3A2BD712" w14:textId="4D30A6E2" w:rsidR="00BA17B4" w:rsidRPr="0023046D" w:rsidRDefault="00BA17B4" w:rsidP="0023046D">
            <w:pPr>
              <w:pStyle w:val="TableTitleInTable"/>
              <w:ind w:right="113"/>
              <w:jc w:val="center"/>
              <w:rPr>
                <w:rFonts w:ascii="Source Sans Pro" w:eastAsia="Yu Gothic UI" w:hAnsi="Source Sans Pro"/>
                <w:b/>
                <w:bCs/>
                <w:color w:val="052D3F" w:themeColor="accent1"/>
                <w:sz w:val="24"/>
                <w:szCs w:val="44"/>
                <w:lang w:val="en-US"/>
              </w:rPr>
            </w:pPr>
            <w:r w:rsidRPr="0023046D">
              <w:rPr>
                <w:rFonts w:ascii="Source Sans Pro" w:eastAsia="Yu Gothic UI" w:hAnsi="Source Sans Pro"/>
                <w:b/>
                <w:bCs/>
                <w:color w:val="052D3F" w:themeColor="accent1"/>
                <w:sz w:val="24"/>
                <w:szCs w:val="44"/>
              </w:rPr>
              <w:t>Workspace</w:t>
            </w:r>
          </w:p>
          <w:p w14:paraId="3EE6AB93" w14:textId="0C78F907" w:rsidR="00BA17B4" w:rsidRPr="0023046D" w:rsidRDefault="00BA17B4" w:rsidP="0023046D">
            <w:pPr>
              <w:pStyle w:val="TableTitleInTable"/>
              <w:ind w:right="113"/>
              <w:jc w:val="center"/>
              <w:rPr>
                <w:rFonts w:ascii="Source Sans Pro" w:eastAsia="Yu Gothic UI" w:hAnsi="Source Sans Pro"/>
                <w:b/>
                <w:bCs/>
                <w:color w:val="052D3F" w:themeColor="accent1"/>
                <w:sz w:val="24"/>
                <w:szCs w:val="44"/>
                <w:lang w:val="en-US"/>
              </w:rPr>
            </w:pPr>
          </w:p>
        </w:tc>
        <w:tc>
          <w:tcPr>
            <w:tcW w:w="1890" w:type="dxa"/>
            <w:tcBorders>
              <w:top w:val="single" w:sz="8" w:space="0" w:color="FF5000" w:themeColor="accent6"/>
              <w:left w:val="nil"/>
              <w:bottom w:val="single" w:sz="8" w:space="0" w:color="FF5000" w:themeColor="accent6"/>
              <w:right w:val="nil"/>
            </w:tcBorders>
            <w:shd w:val="clear" w:color="auto" w:fill="E9E9EA"/>
            <w:tcMar>
              <w:top w:w="72" w:type="dxa"/>
              <w:left w:w="144" w:type="dxa"/>
              <w:bottom w:w="72" w:type="dxa"/>
              <w:right w:w="144" w:type="dxa"/>
            </w:tcMar>
            <w:hideMark/>
          </w:tcPr>
          <w:p w14:paraId="1943F378" w14:textId="62AB6077" w:rsidR="00BA17B4" w:rsidRPr="00BF7897" w:rsidRDefault="00BA17B4" w:rsidP="00E057B0">
            <w:pPr>
              <w:pStyle w:val="TableTitleInTable"/>
              <w:ind w:left="0"/>
              <w:rPr>
                <w:rFonts w:ascii="Source Sans Pro" w:eastAsia="Yu Gothic UI" w:hAnsi="Source Sans Pro"/>
                <w:bCs/>
                <w:color w:val="FF5000" w:themeColor="accent6"/>
                <w:sz w:val="20"/>
                <w:szCs w:val="44"/>
              </w:rPr>
            </w:pPr>
            <w:r w:rsidRPr="00BF7897">
              <w:rPr>
                <w:rFonts w:ascii="Source Sans Pro" w:eastAsia="Yu Gothic UI" w:hAnsi="Source Sans Pro"/>
                <w:bCs/>
                <w:color w:val="FF5000" w:themeColor="accent6"/>
                <w:sz w:val="20"/>
                <w:szCs w:val="44"/>
              </w:rPr>
              <w:t>Budget - £20.</w:t>
            </w:r>
            <w:r w:rsidR="006F3AC6">
              <w:rPr>
                <w:rFonts w:ascii="Source Sans Pro" w:eastAsia="Yu Gothic UI" w:hAnsi="Source Sans Pro"/>
                <w:bCs/>
                <w:color w:val="FF5000" w:themeColor="accent6"/>
                <w:sz w:val="20"/>
                <w:szCs w:val="44"/>
              </w:rPr>
              <w:t>3</w:t>
            </w:r>
            <w:r w:rsidRPr="00BF7897">
              <w:rPr>
                <w:rFonts w:ascii="Source Sans Pro" w:eastAsia="Yu Gothic UI" w:hAnsi="Source Sans Pro"/>
                <w:bCs/>
                <w:color w:val="FF5000" w:themeColor="accent6"/>
                <w:sz w:val="20"/>
                <w:szCs w:val="44"/>
              </w:rPr>
              <w:t xml:space="preserve">m </w:t>
            </w:r>
          </w:p>
          <w:p w14:paraId="3250FEAB" w14:textId="0B9975AC" w:rsidR="00BA17B4" w:rsidRPr="00BF7897" w:rsidRDefault="00BA17B4" w:rsidP="00E057B0">
            <w:pPr>
              <w:pStyle w:val="TableTitleInTable"/>
              <w:ind w:left="0"/>
              <w:rPr>
                <w:rFonts w:ascii="Source Sans Pro" w:eastAsia="Yu Gothic UI" w:hAnsi="Source Sans Pro"/>
                <w:bCs/>
                <w:color w:val="052D3F"/>
                <w:sz w:val="20"/>
                <w:szCs w:val="44"/>
                <w:lang w:val="en-US"/>
              </w:rPr>
            </w:pPr>
            <w:r w:rsidRPr="00BF7897">
              <w:rPr>
                <w:rFonts w:ascii="Source Sans Pro" w:eastAsia="Yu Gothic UI" w:hAnsi="Source Sans Pro"/>
                <w:bCs/>
                <w:color w:val="052D3F"/>
                <w:sz w:val="20"/>
                <w:szCs w:val="44"/>
              </w:rPr>
              <w:t xml:space="preserve">Ensuring supply of flexible and affordable workspace – Creative Land Trust, Silvertown Flyover Space, Workspace Acquisition Fund. </w:t>
            </w:r>
          </w:p>
        </w:tc>
        <w:tc>
          <w:tcPr>
            <w:tcW w:w="3597" w:type="dxa"/>
            <w:tcBorders>
              <w:top w:val="single" w:sz="8" w:space="0" w:color="FF5000" w:themeColor="accent6"/>
              <w:left w:val="nil"/>
              <w:bottom w:val="single" w:sz="8" w:space="0" w:color="FF5000" w:themeColor="accent6"/>
              <w:right w:val="nil"/>
            </w:tcBorders>
            <w:shd w:val="clear" w:color="auto" w:fill="E9E9EA"/>
          </w:tcPr>
          <w:p w14:paraId="6D1D51EC" w14:textId="0C5D31A6" w:rsidR="00BA17B4" w:rsidRPr="00BF7897" w:rsidRDefault="00BA17B4" w:rsidP="0023046D">
            <w:pPr>
              <w:pStyle w:val="TableTitleInTable"/>
              <w:rPr>
                <w:rFonts w:ascii="Source Sans Pro" w:eastAsia="Yu Gothic UI" w:hAnsi="Source Sans Pro"/>
                <w:bCs/>
                <w:color w:val="FF5000" w:themeColor="accent6"/>
                <w:sz w:val="20"/>
                <w:szCs w:val="44"/>
              </w:rPr>
            </w:pPr>
            <w:r w:rsidRPr="00BF7897">
              <w:rPr>
                <w:rFonts w:ascii="Source Sans Pro" w:eastAsia="Yu Gothic UI" w:hAnsi="Source Sans Pro"/>
                <w:bCs/>
                <w:color w:val="FF5000" w:themeColor="accent6"/>
                <w:sz w:val="20"/>
                <w:szCs w:val="44"/>
              </w:rPr>
              <w:t xml:space="preserve">Budget </w:t>
            </w:r>
            <w:r w:rsidR="00A92D74">
              <w:rPr>
                <w:rFonts w:ascii="Source Sans Pro" w:eastAsia="Yu Gothic UI" w:hAnsi="Source Sans Pro"/>
                <w:bCs/>
                <w:color w:val="FF5000" w:themeColor="accent6"/>
                <w:sz w:val="20"/>
                <w:szCs w:val="44"/>
              </w:rPr>
              <w:t>–</w:t>
            </w:r>
            <w:r w:rsidRPr="00BF7897">
              <w:rPr>
                <w:rFonts w:ascii="Source Sans Pro" w:eastAsia="Yu Gothic UI" w:hAnsi="Source Sans Pro"/>
                <w:bCs/>
                <w:color w:val="FF5000" w:themeColor="accent6"/>
                <w:sz w:val="20"/>
                <w:szCs w:val="44"/>
              </w:rPr>
              <w:t xml:space="preserve"> £19.</w:t>
            </w:r>
            <w:r w:rsidR="006F3AC6">
              <w:rPr>
                <w:rFonts w:ascii="Source Sans Pro" w:eastAsia="Yu Gothic UI" w:hAnsi="Source Sans Pro"/>
                <w:bCs/>
                <w:color w:val="FF5000" w:themeColor="accent6"/>
                <w:sz w:val="20"/>
                <w:szCs w:val="44"/>
              </w:rPr>
              <w:t>3</w:t>
            </w:r>
            <w:r w:rsidRPr="00BF7897">
              <w:rPr>
                <w:rFonts w:ascii="Source Sans Pro" w:eastAsia="Yu Gothic UI" w:hAnsi="Source Sans Pro"/>
                <w:bCs/>
                <w:color w:val="FF5000" w:themeColor="accent6"/>
                <w:sz w:val="20"/>
                <w:szCs w:val="44"/>
              </w:rPr>
              <w:t xml:space="preserve">m </w:t>
            </w:r>
          </w:p>
          <w:p w14:paraId="518971BE" w14:textId="5816CDCF" w:rsidR="00BA17B4" w:rsidRPr="00BF7897" w:rsidRDefault="00BA17B4" w:rsidP="0023046D">
            <w:pPr>
              <w:pStyle w:val="TableTitleInTable"/>
              <w:rPr>
                <w:rFonts w:ascii="Source Sans Pro" w:eastAsia="Yu Gothic UI" w:hAnsi="Source Sans Pro"/>
                <w:bCs/>
                <w:color w:val="052D3F"/>
                <w:sz w:val="20"/>
                <w:szCs w:val="44"/>
              </w:rPr>
            </w:pPr>
            <w:r w:rsidRPr="00BF7897">
              <w:rPr>
                <w:rFonts w:ascii="Source Sans Pro" w:eastAsia="Yu Gothic UI" w:hAnsi="Source Sans Pro"/>
                <w:bCs/>
                <w:color w:val="052D3F"/>
                <w:sz w:val="20"/>
                <w:szCs w:val="44"/>
              </w:rPr>
              <w:t>A more significant focus upon the curation of the overall space offer, ensuring that there are a continuum of spaces to retain growing companies in the Dock</w:t>
            </w:r>
            <w:r w:rsidR="007D0F71">
              <w:rPr>
                <w:rFonts w:ascii="Source Sans Pro" w:eastAsia="Yu Gothic UI" w:hAnsi="Source Sans Pro"/>
                <w:bCs/>
                <w:color w:val="052D3F"/>
                <w:sz w:val="20"/>
                <w:szCs w:val="44"/>
              </w:rPr>
              <w:t>s</w:t>
            </w:r>
            <w:r w:rsidRPr="00BF7897">
              <w:rPr>
                <w:rFonts w:ascii="Source Sans Pro" w:eastAsia="Yu Gothic UI" w:hAnsi="Source Sans Pro"/>
                <w:bCs/>
                <w:color w:val="052D3F"/>
                <w:sz w:val="20"/>
                <w:szCs w:val="44"/>
              </w:rPr>
              <w:t xml:space="preserve">. Includes more effective and progressive use of public assets alongside partnered (with developers) funding of spaces in </w:t>
            </w:r>
            <w:r w:rsidR="003101CB">
              <w:rPr>
                <w:rFonts w:ascii="Source Sans Pro" w:eastAsia="Yu Gothic UI" w:hAnsi="Source Sans Pro"/>
                <w:bCs/>
                <w:color w:val="052D3F"/>
                <w:sz w:val="20"/>
                <w:szCs w:val="44"/>
              </w:rPr>
              <w:t>new</w:t>
            </w:r>
            <w:r w:rsidRPr="00BF7897">
              <w:rPr>
                <w:rFonts w:ascii="Source Sans Pro" w:eastAsia="Yu Gothic UI" w:hAnsi="Source Sans Pro"/>
                <w:bCs/>
                <w:color w:val="052D3F"/>
                <w:sz w:val="20"/>
                <w:szCs w:val="44"/>
              </w:rPr>
              <w:t xml:space="preserve"> development to support local and young businesses to locate in new spaces. </w:t>
            </w:r>
          </w:p>
        </w:tc>
        <w:tc>
          <w:tcPr>
            <w:tcW w:w="2182" w:type="dxa"/>
            <w:tcBorders>
              <w:top w:val="single" w:sz="8" w:space="0" w:color="FF5000" w:themeColor="accent6"/>
              <w:left w:val="nil"/>
              <w:bottom w:val="single" w:sz="8" w:space="0" w:color="FF5000" w:themeColor="accent6"/>
              <w:right w:val="nil"/>
            </w:tcBorders>
            <w:shd w:val="clear" w:color="auto" w:fill="E9E9EA"/>
            <w:vAlign w:val="center"/>
          </w:tcPr>
          <w:p w14:paraId="4D652AE0" w14:textId="4A639CB5" w:rsidR="00BA17B4" w:rsidRPr="00522FE9" w:rsidRDefault="00954397" w:rsidP="00185A28">
            <w:pPr>
              <w:pStyle w:val="RDNumbers"/>
              <w:numPr>
                <w:ilvl w:val="0"/>
                <w:numId w:val="39"/>
              </w:numPr>
              <w:spacing w:before="40" w:after="40"/>
              <w:ind w:left="341" w:hanging="284"/>
              <w:jc w:val="left"/>
              <w:rPr>
                <w:bCs w:val="0"/>
                <w:color w:val="FF5000" w:themeColor="accent6"/>
                <w:sz w:val="20"/>
                <w:szCs w:val="44"/>
              </w:rPr>
            </w:pPr>
            <w:r>
              <w:rPr>
                <w:sz w:val="20"/>
              </w:rPr>
              <w:t>Workspace investment fund (£19</w:t>
            </w:r>
            <w:r w:rsidR="006F3AC6">
              <w:rPr>
                <w:sz w:val="20"/>
              </w:rPr>
              <w:t>.3</w:t>
            </w:r>
            <w:r>
              <w:rPr>
                <w:sz w:val="20"/>
              </w:rPr>
              <w:t>m)</w:t>
            </w:r>
          </w:p>
          <w:p w14:paraId="0E6645BB" w14:textId="7730DB30" w:rsidR="00522FE9" w:rsidRPr="00BF7897" w:rsidRDefault="00522FE9" w:rsidP="00954397">
            <w:pPr>
              <w:pStyle w:val="RDNumbers"/>
              <w:numPr>
                <w:ilvl w:val="0"/>
                <w:numId w:val="0"/>
              </w:numPr>
              <w:spacing w:before="40" w:after="40"/>
              <w:ind w:left="341"/>
              <w:jc w:val="left"/>
              <w:rPr>
                <w:bCs w:val="0"/>
                <w:color w:val="FF5000" w:themeColor="accent6"/>
                <w:sz w:val="20"/>
                <w:szCs w:val="44"/>
              </w:rPr>
            </w:pPr>
          </w:p>
        </w:tc>
      </w:tr>
    </w:tbl>
    <w:p w14:paraId="405544EB" w14:textId="4489F05A" w:rsidR="00403D70" w:rsidRPr="009908C3" w:rsidRDefault="00403D70" w:rsidP="00403D70">
      <w:pPr>
        <w:pStyle w:val="RDTier2"/>
      </w:pPr>
      <w:bookmarkStart w:id="33" w:name="_Toc20750111"/>
      <w:bookmarkStart w:id="34" w:name="_Toc20750224"/>
      <w:bookmarkStart w:id="35" w:name="_Toc20750278"/>
      <w:bookmarkStart w:id="36" w:name="_Toc20750108"/>
      <w:bookmarkStart w:id="37" w:name="_Toc20750221"/>
      <w:bookmarkStart w:id="38" w:name="_Toc20750275"/>
      <w:r>
        <w:t>ECO1</w:t>
      </w:r>
      <w:r w:rsidR="004908D5">
        <w:t>.</w:t>
      </w:r>
      <w:r>
        <w:t xml:space="preserve"> </w:t>
      </w:r>
      <w:bookmarkEnd w:id="33"/>
      <w:bookmarkEnd w:id="34"/>
      <w:bookmarkEnd w:id="35"/>
      <w:r>
        <w:t>Royal Docks Good Growth Fund</w:t>
      </w:r>
      <w:r w:rsidR="004908D5">
        <w:t>: Innovation and Challenge</w:t>
      </w:r>
    </w:p>
    <w:p w14:paraId="16937BB4" w14:textId="029BD828" w:rsidR="00F97765" w:rsidRDefault="00F97765" w:rsidP="00F97765">
      <w:pPr>
        <w:pStyle w:val="RDParagraph"/>
      </w:pPr>
      <w:r>
        <w:t xml:space="preserve">The Royal Docks Good Growth Fund is an opportunity to ensure that public investment into the Royal Docks is agile and is able to benefit from the best emerging </w:t>
      </w:r>
      <w:r w:rsidR="00026481">
        <w:t xml:space="preserve">local </w:t>
      </w:r>
      <w:r>
        <w:t xml:space="preserve">ideas as well as the best new thinking on social, urban and environmental evolution. It will enable the Enterprise Zone to be more responsive to current and existing challenges, </w:t>
      </w:r>
      <w:r w:rsidR="003E5DA8">
        <w:t xml:space="preserve">including </w:t>
      </w:r>
      <w:r>
        <w:t>helping to incentivise relocation.</w:t>
      </w:r>
    </w:p>
    <w:p w14:paraId="0E387E97" w14:textId="7BB1D760" w:rsidR="008E58C6" w:rsidRPr="007561BD" w:rsidRDefault="006C6101" w:rsidP="007561BD">
      <w:pPr>
        <w:pStyle w:val="RDTier3"/>
      </w:pPr>
      <w:r w:rsidRPr="007561BD">
        <w:t xml:space="preserve">Investment </w:t>
      </w:r>
      <w:r w:rsidR="00AB7A9F">
        <w:t>Parameters</w:t>
      </w:r>
    </w:p>
    <w:p w14:paraId="3CC5A4CE" w14:textId="2E3DCFCC" w:rsidR="00F97765" w:rsidRPr="002A0746" w:rsidRDefault="00F97765" w:rsidP="002A0746">
      <w:pPr>
        <w:pStyle w:val="RDParagraph"/>
      </w:pPr>
      <w:r w:rsidRPr="002A0746">
        <w:t xml:space="preserve">The current </w:t>
      </w:r>
      <w:r w:rsidR="006C6101" w:rsidRPr="002A0746">
        <w:t xml:space="preserve">Delivery Plan </w:t>
      </w:r>
      <w:r w:rsidR="002C0F1D" w:rsidRPr="002A0746">
        <w:t>PID</w:t>
      </w:r>
      <w:r w:rsidRPr="002A0746">
        <w:t xml:space="preserve"> identifies the need the for the GLA and Royal Docks Team to establish new decision-making infrastructure to identify and select </w:t>
      </w:r>
      <w:r w:rsidR="003A07B4" w:rsidRPr="002A0746">
        <w:t xml:space="preserve">catalytic </w:t>
      </w:r>
      <w:r w:rsidRPr="002A0746">
        <w:t xml:space="preserve">projects, to support </w:t>
      </w:r>
      <w:r w:rsidR="004D4679" w:rsidRPr="002A0746">
        <w:t xml:space="preserve">the </w:t>
      </w:r>
      <w:r w:rsidRPr="002A0746">
        <w:t xml:space="preserve">wider objectives of the Royal Docks and development sites.  </w:t>
      </w:r>
      <w:r w:rsidR="004D4679" w:rsidRPr="002A0746">
        <w:t>P</w:t>
      </w:r>
      <w:r w:rsidR="003A07B4" w:rsidRPr="002A0746">
        <w:t>arameters</w:t>
      </w:r>
      <w:r w:rsidRPr="002A0746">
        <w:t xml:space="preserve"> include:</w:t>
      </w:r>
    </w:p>
    <w:p w14:paraId="10CD266D" w14:textId="204253C9" w:rsidR="003A07B4" w:rsidRPr="00896374" w:rsidRDefault="003A07B4" w:rsidP="002A0746">
      <w:pPr>
        <w:pStyle w:val="RDBullet"/>
      </w:pPr>
      <w:r w:rsidRPr="00896374">
        <w:t xml:space="preserve">Following the overall </w:t>
      </w:r>
      <w:r w:rsidR="00A3100D" w:rsidRPr="00896374">
        <w:t>objectives set out in the GLA’s Good Growth Fund Prospectus</w:t>
      </w:r>
    </w:p>
    <w:p w14:paraId="05503BBF" w14:textId="19F61696" w:rsidR="00F97765" w:rsidRPr="00896374" w:rsidRDefault="00F97765" w:rsidP="002A0746">
      <w:pPr>
        <w:pStyle w:val="RDBullet"/>
      </w:pPr>
      <w:r w:rsidRPr="00896374">
        <w:t>Targeting projects that “Develop civic infrastructure, back small business, create workspace, drive innovation”</w:t>
      </w:r>
    </w:p>
    <w:p w14:paraId="7210B7BF" w14:textId="77777777" w:rsidR="00F97765" w:rsidRPr="00896374" w:rsidRDefault="00F97765" w:rsidP="002A0746">
      <w:pPr>
        <w:pStyle w:val="RDBullet"/>
      </w:pPr>
      <w:r w:rsidRPr="00896374">
        <w:t>Provide investment to “Bind together disparate Royal Docks sites”</w:t>
      </w:r>
    </w:p>
    <w:p w14:paraId="0665FE6B" w14:textId="14942EC7" w:rsidR="00F97765" w:rsidRPr="00896374" w:rsidRDefault="00F97765" w:rsidP="002A0746">
      <w:pPr>
        <w:pStyle w:val="RDBullet"/>
      </w:pPr>
      <w:r w:rsidRPr="00896374">
        <w:t>Deliver “</w:t>
      </w:r>
      <w:r w:rsidR="006F7D0E">
        <w:t>p</w:t>
      </w:r>
      <w:r w:rsidRPr="00896374">
        <w:t>rojects that are permanent in nature” rather than  smaller meanwhile projects</w:t>
      </w:r>
    </w:p>
    <w:p w14:paraId="11DE153B" w14:textId="77777777" w:rsidR="00F97765" w:rsidRPr="00896374" w:rsidRDefault="00F97765" w:rsidP="002A0746">
      <w:pPr>
        <w:pStyle w:val="RDBullet"/>
      </w:pPr>
      <w:r w:rsidRPr="00896374">
        <w:t>“10-15 catalytic projects” which “contribute to a distinctive character for the Royal Docks.</w:t>
      </w:r>
    </w:p>
    <w:p w14:paraId="0897D18D" w14:textId="483CDE25" w:rsidR="00DA117D" w:rsidRDefault="00F97765" w:rsidP="00F97765">
      <w:pPr>
        <w:pStyle w:val="RDParagraph"/>
      </w:pPr>
      <w:r>
        <w:t>Generally, the project as described</w:t>
      </w:r>
      <w:r w:rsidR="00777F5C">
        <w:t xml:space="preserve"> within the 2018-2023 Delivery Plan</w:t>
      </w:r>
      <w:r>
        <w:t xml:space="preserve"> </w:t>
      </w:r>
      <w:r w:rsidR="00E71D7C">
        <w:t>aligns</w:t>
      </w:r>
      <w:r>
        <w:t xml:space="preserve"> well </w:t>
      </w:r>
      <w:r w:rsidR="00E71D7C">
        <w:t xml:space="preserve">with </w:t>
      </w:r>
      <w:r>
        <w:t xml:space="preserve">the </w:t>
      </w:r>
      <w:r w:rsidR="00E71D7C">
        <w:t>Economic Purpose and updated evidence base</w:t>
      </w:r>
      <w:r>
        <w:t xml:space="preserve">. </w:t>
      </w:r>
    </w:p>
    <w:p w14:paraId="3E532543" w14:textId="654E8967" w:rsidR="009740AF" w:rsidRDefault="00F97765" w:rsidP="00F97765">
      <w:pPr>
        <w:pStyle w:val="RDParagraph"/>
        <w:rPr>
          <w:szCs w:val="22"/>
        </w:rPr>
      </w:pPr>
      <w:r w:rsidRPr="009740AF">
        <w:rPr>
          <w:szCs w:val="22"/>
        </w:rPr>
        <w:t xml:space="preserve">The fund </w:t>
      </w:r>
      <w:r w:rsidR="00DA117D" w:rsidRPr="009740AF">
        <w:rPr>
          <w:szCs w:val="22"/>
        </w:rPr>
        <w:t xml:space="preserve">should, </w:t>
      </w:r>
      <w:r w:rsidRPr="009740AF">
        <w:rPr>
          <w:szCs w:val="22"/>
        </w:rPr>
        <w:t xml:space="preserve">however, </w:t>
      </w:r>
      <w:r w:rsidR="00DA117D" w:rsidRPr="009740AF">
        <w:rPr>
          <w:szCs w:val="22"/>
        </w:rPr>
        <w:t xml:space="preserve">focus on </w:t>
      </w:r>
      <w:r w:rsidR="00C4338A" w:rsidRPr="009740AF">
        <w:rPr>
          <w:szCs w:val="22"/>
        </w:rPr>
        <w:t>encourag</w:t>
      </w:r>
      <w:r w:rsidR="00DA117D" w:rsidRPr="009740AF">
        <w:rPr>
          <w:szCs w:val="22"/>
        </w:rPr>
        <w:t>ing</w:t>
      </w:r>
      <w:r w:rsidR="00C4338A" w:rsidRPr="009740AF">
        <w:rPr>
          <w:szCs w:val="22"/>
        </w:rPr>
        <w:t xml:space="preserve"> innovation </w:t>
      </w:r>
      <w:r w:rsidR="00DA117D" w:rsidRPr="009740AF">
        <w:rPr>
          <w:szCs w:val="22"/>
        </w:rPr>
        <w:t xml:space="preserve">and </w:t>
      </w:r>
      <w:r w:rsidRPr="009740AF">
        <w:rPr>
          <w:szCs w:val="22"/>
        </w:rPr>
        <w:t>support</w:t>
      </w:r>
      <w:r w:rsidR="00DA117D" w:rsidRPr="009740AF">
        <w:rPr>
          <w:szCs w:val="22"/>
        </w:rPr>
        <w:t xml:space="preserve">ing </w:t>
      </w:r>
      <w:r w:rsidRPr="009740AF">
        <w:rPr>
          <w:szCs w:val="22"/>
        </w:rPr>
        <w:t>new approaches to deliver</w:t>
      </w:r>
      <w:r w:rsidR="00B3007A" w:rsidRPr="009740AF">
        <w:rPr>
          <w:szCs w:val="22"/>
        </w:rPr>
        <w:t>y that specifically target social and environmental challenges</w:t>
      </w:r>
      <w:r w:rsidRPr="009740AF">
        <w:rPr>
          <w:szCs w:val="22"/>
        </w:rPr>
        <w:t>.</w:t>
      </w:r>
      <w:r w:rsidR="006844A5">
        <w:rPr>
          <w:szCs w:val="22"/>
        </w:rPr>
        <w:t xml:space="preserve"> Linked to Newham’s plan for a borough Green New Deal, this is an opportunity to provide a stimulus and foundation of the Royal Docks as an incubator for the best ideas and innovation in relation to social and environmental change.</w:t>
      </w:r>
    </w:p>
    <w:p w14:paraId="0FE1416B" w14:textId="56792EE4" w:rsidR="00F97765" w:rsidRDefault="00F97765" w:rsidP="00F97765">
      <w:pPr>
        <w:pStyle w:val="RDParagraph"/>
      </w:pPr>
      <w:r>
        <w:t>The opportunity for flexibility should not be overlooked, particularly when it comes to addressing uncertainty within the economy in the coming years. The scale of the fund helps set the area apart from other places in London and t</w:t>
      </w:r>
      <w:r w:rsidR="00FA3751">
        <w:t xml:space="preserve">his present an important </w:t>
      </w:r>
      <w:r>
        <w:t xml:space="preserve">opportunity </w:t>
      </w:r>
      <w:r w:rsidR="00FA3751">
        <w:t xml:space="preserve">to help </w:t>
      </w:r>
      <w:r>
        <w:t>differentiate</w:t>
      </w:r>
      <w:r w:rsidR="00FA3751">
        <w:t xml:space="preserve"> the area in terms of the </w:t>
      </w:r>
      <w:r w:rsidR="00020EC6">
        <w:t>investments made and the delivery models adopted</w:t>
      </w:r>
      <w:r>
        <w:t>.</w:t>
      </w:r>
    </w:p>
    <w:p w14:paraId="2E66415B" w14:textId="1115C45C" w:rsidR="00020EC6" w:rsidRPr="00A16B61" w:rsidRDefault="00020EC6" w:rsidP="00020EC6">
      <w:pPr>
        <w:pStyle w:val="RDParagraph"/>
      </w:pPr>
      <w:r w:rsidRPr="00A16B61">
        <w:t xml:space="preserve">Linked to emerging plans for monitoring and evaluation, </w:t>
      </w:r>
      <w:r>
        <w:t xml:space="preserve">it will also be important to </w:t>
      </w:r>
      <w:r w:rsidRPr="00A16B61">
        <w:t xml:space="preserve">ensure that all projects build in the highest standard of data and evidence collection, supporting the role of the Royal Docks as a ‘lab’ which provides projects of insights which are of value to Newham and London. </w:t>
      </w:r>
    </w:p>
    <w:p w14:paraId="667F5FDE" w14:textId="1677C995" w:rsidR="007561BD" w:rsidRDefault="007561BD" w:rsidP="007561BD">
      <w:pPr>
        <w:pStyle w:val="RDTier3"/>
      </w:pPr>
      <w:r>
        <w:t>Delivery Focus</w:t>
      </w:r>
    </w:p>
    <w:p w14:paraId="3C56B0EE" w14:textId="1992B18D" w:rsidR="00896374" w:rsidRPr="009740AF" w:rsidRDefault="00896374" w:rsidP="00896374">
      <w:pPr>
        <w:pStyle w:val="RDParagraph"/>
        <w:rPr>
          <w:szCs w:val="22"/>
        </w:rPr>
      </w:pPr>
      <w:r>
        <w:rPr>
          <w:szCs w:val="22"/>
        </w:rPr>
        <w:t>While in many cases fund</w:t>
      </w:r>
      <w:r w:rsidR="00636085">
        <w:rPr>
          <w:szCs w:val="22"/>
        </w:rPr>
        <w:t>ing</w:t>
      </w:r>
      <w:r>
        <w:rPr>
          <w:szCs w:val="22"/>
        </w:rPr>
        <w:t xml:space="preserve"> </w:t>
      </w:r>
      <w:r w:rsidR="00D419CA">
        <w:rPr>
          <w:szCs w:val="22"/>
        </w:rPr>
        <w:t>will</w:t>
      </w:r>
      <w:r>
        <w:rPr>
          <w:szCs w:val="22"/>
        </w:rPr>
        <w:t xml:space="preserve"> be used to support </w:t>
      </w:r>
      <w:r w:rsidR="00D419CA">
        <w:rPr>
          <w:szCs w:val="22"/>
        </w:rPr>
        <w:t>distinct</w:t>
      </w:r>
      <w:r>
        <w:rPr>
          <w:szCs w:val="22"/>
        </w:rPr>
        <w:t xml:space="preserve"> projects and ideas, it may also be used to s</w:t>
      </w:r>
      <w:r w:rsidRPr="009740AF">
        <w:rPr>
          <w:szCs w:val="22"/>
        </w:rPr>
        <w:t xml:space="preserve">upport </w:t>
      </w:r>
      <w:r w:rsidRPr="009740AF">
        <w:rPr>
          <w:bCs w:val="0"/>
          <w:szCs w:val="22"/>
        </w:rPr>
        <w:t xml:space="preserve">‘enabling’ investment across other project areas to </w:t>
      </w:r>
      <w:r w:rsidR="00636085">
        <w:rPr>
          <w:bCs w:val="0"/>
          <w:szCs w:val="22"/>
        </w:rPr>
        <w:t>ensure</w:t>
      </w:r>
      <w:r w:rsidR="00271061">
        <w:rPr>
          <w:bCs w:val="0"/>
          <w:szCs w:val="22"/>
        </w:rPr>
        <w:t xml:space="preserve"> </w:t>
      </w:r>
      <w:r w:rsidRPr="009740AF">
        <w:rPr>
          <w:bCs w:val="0"/>
          <w:szCs w:val="22"/>
        </w:rPr>
        <w:t>holistic ambitions</w:t>
      </w:r>
      <w:r>
        <w:rPr>
          <w:bCs w:val="0"/>
          <w:szCs w:val="22"/>
        </w:rPr>
        <w:t xml:space="preserve"> (particularly regarding social and environmental outcomes)</w:t>
      </w:r>
      <w:r w:rsidR="00636085">
        <w:rPr>
          <w:bCs w:val="0"/>
          <w:szCs w:val="22"/>
        </w:rPr>
        <w:t xml:space="preserve"> are embedded and realised</w:t>
      </w:r>
      <w:r>
        <w:rPr>
          <w:bCs w:val="0"/>
          <w:szCs w:val="22"/>
        </w:rPr>
        <w:t>.</w:t>
      </w:r>
    </w:p>
    <w:p w14:paraId="075523D5" w14:textId="6C95D81B" w:rsidR="002A036D" w:rsidRDefault="002A036D" w:rsidP="00F97765">
      <w:pPr>
        <w:pStyle w:val="RDParagraph"/>
      </w:pPr>
      <w:r>
        <w:t xml:space="preserve">To help balance outcomes and flexibility, partners should consider splitting the fund to focus on three </w:t>
      </w:r>
      <w:r w:rsidR="00BF0F8A">
        <w:t>areas of activity:</w:t>
      </w:r>
    </w:p>
    <w:p w14:paraId="23C63FF0" w14:textId="33C18739" w:rsidR="002D2007" w:rsidRPr="002D2007" w:rsidRDefault="002D2007" w:rsidP="00185A28">
      <w:pPr>
        <w:pStyle w:val="RDNumbers"/>
        <w:numPr>
          <w:ilvl w:val="0"/>
          <w:numId w:val="38"/>
        </w:numPr>
        <w:ind w:left="1037" w:hanging="357"/>
      </w:pPr>
      <w:r w:rsidRPr="00C81368">
        <w:rPr>
          <w:b/>
        </w:rPr>
        <w:t>London Good Growth and Social Integration Hub at the Crystal</w:t>
      </w:r>
      <w:r w:rsidRPr="003951E2">
        <w:t xml:space="preserve"> –</w:t>
      </w:r>
      <w:r w:rsidR="001E007B" w:rsidRPr="001E007B">
        <w:t xml:space="preserve"> </w:t>
      </w:r>
      <w:r w:rsidR="001E007B" w:rsidRPr="0053558E">
        <w:t>Supporting the delivery of a hub for social innovation at the Crystal, bringing together prominent thinkers and organisations to develop new solutions for the city</w:t>
      </w:r>
      <w:r w:rsidR="001E007B">
        <w:t xml:space="preserve">. </w:t>
      </w:r>
      <w:r w:rsidRPr="003951E2">
        <w:t xml:space="preserve"> </w:t>
      </w:r>
      <w:r w:rsidR="001E007B">
        <w:t xml:space="preserve">While the hub would </w:t>
      </w:r>
      <w:r w:rsidR="0085761F">
        <w:t>have regional</w:t>
      </w:r>
      <w:r w:rsidRPr="003951E2">
        <w:t xml:space="preserve"> remit</w:t>
      </w:r>
      <w:r w:rsidR="00745638">
        <w:t xml:space="preserve">, it would be primarily </w:t>
      </w:r>
      <w:r w:rsidRPr="003951E2">
        <w:t xml:space="preserve">focused on </w:t>
      </w:r>
      <w:r w:rsidR="00745638">
        <w:t>responding to c</w:t>
      </w:r>
      <w:r w:rsidRPr="003951E2">
        <w:t>hallenge</w:t>
      </w:r>
      <w:r w:rsidR="00745638">
        <w:t xml:space="preserve"> and opportunity within the </w:t>
      </w:r>
      <w:r w:rsidRPr="003951E2">
        <w:t>Royal Docks and its communities.</w:t>
      </w:r>
      <w:r w:rsidR="009E29C2">
        <w:t xml:space="preserve"> </w:t>
      </w:r>
      <w:r w:rsidR="000D0572">
        <w:t>It would engage (and possibly be deliver</w:t>
      </w:r>
      <w:r w:rsidR="0085761F">
        <w:t>ed</w:t>
      </w:r>
      <w:r w:rsidR="000D0572">
        <w:t xml:space="preserve"> by) third party </w:t>
      </w:r>
      <w:r w:rsidR="00EC0B50">
        <w:t xml:space="preserve">innovation </w:t>
      </w:r>
      <w:r w:rsidR="000D0572">
        <w:t>partners</w:t>
      </w:r>
      <w:r w:rsidR="00EC0B50">
        <w:t xml:space="preserve">. It </w:t>
      </w:r>
      <w:r w:rsidR="00DC1CB1">
        <w:t>would link to other economy project</w:t>
      </w:r>
      <w:r w:rsidR="00154FED">
        <w:t>s</w:t>
      </w:r>
      <w:r w:rsidR="00DC1CB1">
        <w:t xml:space="preserve"> </w:t>
      </w:r>
      <w:r w:rsidR="00C81368">
        <w:t xml:space="preserve">(employment and skills, business support and workspace) and </w:t>
      </w:r>
      <w:r w:rsidR="00EC0B50">
        <w:t xml:space="preserve">could also act as a ‘welcome’ point to the Dock’s providing ongoing information on the delivery process and </w:t>
      </w:r>
      <w:r w:rsidR="00DC1CB1">
        <w:t xml:space="preserve">a clear place where people can go to access information or opportunities. </w:t>
      </w:r>
    </w:p>
    <w:p w14:paraId="13147839" w14:textId="1AD6A30A" w:rsidR="00F97765" w:rsidRPr="00A16B61" w:rsidRDefault="00F97765" w:rsidP="00185A28">
      <w:pPr>
        <w:pStyle w:val="RDNumbers"/>
        <w:numPr>
          <w:ilvl w:val="0"/>
          <w:numId w:val="38"/>
        </w:numPr>
        <w:ind w:left="1037" w:hanging="357"/>
      </w:pPr>
      <w:r w:rsidRPr="00890435">
        <w:rPr>
          <w:b/>
        </w:rPr>
        <w:t>Innovation Challenge Fund</w:t>
      </w:r>
      <w:r w:rsidR="001514BD" w:rsidRPr="00890435">
        <w:rPr>
          <w:b/>
        </w:rPr>
        <w:t>:</w:t>
      </w:r>
      <w:r w:rsidRPr="00A16B61">
        <w:t xml:space="preserve"> </w:t>
      </w:r>
      <w:r w:rsidR="00C81368">
        <w:t>Linked to the Social Innovation Hub, a</w:t>
      </w:r>
      <w:r w:rsidRPr="00A16B61">
        <w:t xml:space="preserve"> rolling fund with a number of thematic call outs to invite organisations from Newham, London and further a</w:t>
      </w:r>
      <w:r w:rsidR="00786CCB">
        <w:t>f</w:t>
      </w:r>
      <w:r w:rsidRPr="00A16B61">
        <w:t xml:space="preserve">ield to generate new and innovative ideas and approaches. This could include </w:t>
      </w:r>
      <w:r w:rsidR="001F34CC">
        <w:t xml:space="preserve">targeting </w:t>
      </w:r>
      <w:r w:rsidRPr="00A16B61">
        <w:t>specific environmental and climate challenges, alongside more local social and community wealth building activit</w:t>
      </w:r>
      <w:r w:rsidR="001F34CC">
        <w:t>ies</w:t>
      </w:r>
      <w:r w:rsidR="00D94EBF">
        <w:t xml:space="preserve">. </w:t>
      </w:r>
      <w:r w:rsidRPr="00A16B61">
        <w:t>In pursuing a more a more flexible and innovative approach may wish to identify a third party innovation partner who can support recipients of funding to adopt new proposals and develop new behaviours</w:t>
      </w:r>
      <w:r w:rsidR="00112F87">
        <w:t>.</w:t>
      </w:r>
    </w:p>
    <w:p w14:paraId="125EA325" w14:textId="0AFC112C" w:rsidR="00B95371" w:rsidRDefault="00B95371" w:rsidP="00E220A6">
      <w:pPr>
        <w:pStyle w:val="RDNumbers"/>
        <w:ind w:left="1037" w:hanging="357"/>
      </w:pPr>
      <w:r>
        <w:rPr>
          <w:b/>
        </w:rPr>
        <w:t>Participatory Fund:</w:t>
      </w:r>
      <w:r>
        <w:t xml:space="preserve"> Ringfencing a proportion of funding to support grass roots participatory activities in communities within amenity centres (Beckton, Canning Town, North Woolwich and Custom House). This will enable residents to play a role in developing their own responses to Royal Docks opportunities as well as addressing deficits in local provision which limits growing in local economy and social capital.</w:t>
      </w:r>
    </w:p>
    <w:p w14:paraId="4FB69CCB" w14:textId="67CAD930" w:rsidR="00F97765" w:rsidRPr="00E220A6" w:rsidRDefault="00A16B61" w:rsidP="0056155D">
      <w:pPr>
        <w:pStyle w:val="RDNumbers"/>
        <w:ind w:left="1037" w:hanging="357"/>
        <w:rPr>
          <w:b/>
        </w:rPr>
      </w:pPr>
      <w:r w:rsidRPr="00E220A6">
        <w:rPr>
          <w:b/>
        </w:rPr>
        <w:t>‘Traditional’ Good Growth Fund Act</w:t>
      </w:r>
      <w:r w:rsidR="00E207AB" w:rsidRPr="00E220A6">
        <w:rPr>
          <w:b/>
        </w:rPr>
        <w:t xml:space="preserve">ivities: </w:t>
      </w:r>
      <w:r w:rsidRPr="00E220A6">
        <w:t xml:space="preserve">A more ‘traditional’ Good Growth Fund approach </w:t>
      </w:r>
      <w:r w:rsidR="00E207AB" w:rsidRPr="00E220A6">
        <w:t xml:space="preserve">focusing on early animation and </w:t>
      </w:r>
      <w:r w:rsidRPr="00E220A6">
        <w:t>support</w:t>
      </w:r>
      <w:r w:rsidR="00E207AB" w:rsidRPr="00E220A6">
        <w:t>ing</w:t>
      </w:r>
      <w:r w:rsidRPr="00E220A6">
        <w:t xml:space="preserve"> catalytic projects which will enable opportunities and address barriers to delivery in the regeneration of the Royal Docks and its </w:t>
      </w:r>
      <w:r w:rsidR="00EB2E69" w:rsidRPr="00E220A6">
        <w:t>sites</w:t>
      </w:r>
      <w:r w:rsidRPr="00E220A6">
        <w:t xml:space="preserve">. </w:t>
      </w:r>
      <w:r w:rsidR="00E207AB" w:rsidRPr="00E220A6">
        <w:t xml:space="preserve">This may complement / support delivery within other </w:t>
      </w:r>
      <w:r w:rsidR="0073374D" w:rsidRPr="00E220A6">
        <w:t>project areas – particularly in terms of Workspace (ECO 4), and also acr</w:t>
      </w:r>
      <w:r w:rsidR="00D94EBF" w:rsidRPr="00E220A6">
        <w:t xml:space="preserve">oss the </w:t>
      </w:r>
      <w:r w:rsidR="0073374D" w:rsidRPr="00E220A6">
        <w:t>place and connectivity</w:t>
      </w:r>
      <w:r w:rsidR="00D94EBF" w:rsidRPr="00E220A6">
        <w:t xml:space="preserve"> themes</w:t>
      </w:r>
      <w:r w:rsidR="0073374D" w:rsidRPr="00E220A6">
        <w:t xml:space="preserve">. </w:t>
      </w:r>
      <w:r w:rsidR="00F97765" w:rsidRPr="00E220A6">
        <w:t xml:space="preserve"> In the case of more </w:t>
      </w:r>
      <w:r w:rsidR="00ED6220" w:rsidRPr="00E220A6">
        <w:t>‘</w:t>
      </w:r>
      <w:r w:rsidR="00F97765" w:rsidRPr="00E220A6">
        <w:t>fixed</w:t>
      </w:r>
      <w:r w:rsidR="00ED6220" w:rsidRPr="00E220A6">
        <w:t>’</w:t>
      </w:r>
      <w:r w:rsidR="00F97765" w:rsidRPr="00E220A6">
        <w:t xml:space="preserve"> Good Growth investments, </w:t>
      </w:r>
      <w:r w:rsidR="00216AEF" w:rsidRPr="00E220A6">
        <w:t xml:space="preserve">a number of areas of potential </w:t>
      </w:r>
      <w:r w:rsidR="00C74162" w:rsidRPr="00E220A6">
        <w:t>focus</w:t>
      </w:r>
      <w:r w:rsidR="00216AEF" w:rsidRPr="00E220A6">
        <w:t xml:space="preserve"> have been identified via consultati</w:t>
      </w:r>
      <w:r w:rsidR="00BE046C" w:rsidRPr="00E220A6">
        <w:t>on</w:t>
      </w:r>
      <w:r w:rsidR="00ED6220" w:rsidRPr="00E220A6">
        <w:t>. W</w:t>
      </w:r>
      <w:r w:rsidR="00BE046C" w:rsidRPr="00E220A6">
        <w:t xml:space="preserve">hile providing a starting point, this list </w:t>
      </w:r>
      <w:r w:rsidR="00AB2C0E" w:rsidRPr="00E220A6">
        <w:t>will</w:t>
      </w:r>
      <w:r w:rsidR="00BE046C" w:rsidRPr="00E220A6">
        <w:t xml:space="preserve"> evolve over time (driven in particular by participatory acti</w:t>
      </w:r>
      <w:r w:rsidR="00ED6220" w:rsidRPr="00E220A6">
        <w:t>vities with local communities)</w:t>
      </w:r>
      <w:r w:rsidR="00F97765" w:rsidRPr="00E220A6">
        <w:t>:</w:t>
      </w:r>
    </w:p>
    <w:p w14:paraId="2924B93F" w14:textId="07F639CD" w:rsidR="0053558E" w:rsidRPr="0053558E" w:rsidRDefault="00BB2BCF" w:rsidP="00E220A6">
      <w:pPr>
        <w:pStyle w:val="RDbullettier2"/>
      </w:pPr>
      <w:r w:rsidRPr="0053558E">
        <w:t xml:space="preserve">Providing free spaces for youth enterprise within new developments / public assets </w:t>
      </w:r>
    </w:p>
    <w:p w14:paraId="23F68FA6" w14:textId="03E45759" w:rsidR="00F97765" w:rsidRPr="0053558E" w:rsidRDefault="00F97765" w:rsidP="00E220A6">
      <w:pPr>
        <w:pStyle w:val="RDbullettier2"/>
      </w:pPr>
      <w:r w:rsidRPr="0053558E">
        <w:t xml:space="preserve">Expediting </w:t>
      </w:r>
      <w:r w:rsidR="002577AE" w:rsidRPr="0053558E">
        <w:t xml:space="preserve">an </w:t>
      </w:r>
      <w:r w:rsidRPr="0053558E">
        <w:t xml:space="preserve">amenity offer </w:t>
      </w:r>
      <w:r w:rsidR="00BF0FBC">
        <w:t>across the area (with a focus on amenity offering a social good)</w:t>
      </w:r>
    </w:p>
    <w:p w14:paraId="44F1A739" w14:textId="12A3F35E" w:rsidR="00F97765" w:rsidRPr="0053558E" w:rsidRDefault="00F97765" w:rsidP="00E220A6">
      <w:pPr>
        <w:pStyle w:val="RDbullettier2"/>
      </w:pPr>
      <w:r w:rsidRPr="0053558E">
        <w:t>Exploration of water</w:t>
      </w:r>
      <w:r w:rsidR="00AB2C0E" w:rsidRPr="0053558E">
        <w:t>-</w:t>
      </w:r>
      <w:r w:rsidRPr="0053558E">
        <w:t>based innovation projects at Albert Island</w:t>
      </w:r>
    </w:p>
    <w:p w14:paraId="10B2EE52" w14:textId="77777777" w:rsidR="001B7676" w:rsidRDefault="00F97765" w:rsidP="00DF2F4F">
      <w:pPr>
        <w:pStyle w:val="RDbullettier2"/>
      </w:pPr>
      <w:r w:rsidRPr="0053558E">
        <w:t>Development of spaces to support urban agriculture and food production innovation</w:t>
      </w:r>
    </w:p>
    <w:p w14:paraId="444A2290" w14:textId="7D174EBA" w:rsidR="00F97765" w:rsidRPr="0053558E" w:rsidRDefault="001B7676" w:rsidP="00DF2F4F">
      <w:pPr>
        <w:pStyle w:val="RDbullettier2"/>
      </w:pPr>
      <w:r>
        <w:t>Wider initiative to support green and creative enterprise across the area (see also ECO3)</w:t>
      </w:r>
      <w:r w:rsidR="00F97765" w:rsidRPr="0053558E">
        <w:t>.</w:t>
      </w:r>
    </w:p>
    <w:p w14:paraId="49CA16C1" w14:textId="5FB58CAA" w:rsidR="00F97765" w:rsidRDefault="00F97765" w:rsidP="00B456B4">
      <w:pPr>
        <w:pStyle w:val="RDTier3"/>
      </w:pPr>
      <w:r>
        <w:t>Outcomes</w:t>
      </w:r>
      <w:r w:rsidR="002C42A9">
        <w:t xml:space="preserve">: </w:t>
      </w:r>
      <w:r>
        <w:t>Contributions to Economic Purpose</w:t>
      </w:r>
      <w:r w:rsidR="002C42A9">
        <w:t xml:space="preserve"> and Success Measures</w:t>
      </w:r>
    </w:p>
    <w:p w14:paraId="68D7C6A6" w14:textId="2ED27C94" w:rsidR="00F97765" w:rsidRDefault="0034386F" w:rsidP="00B456B4">
      <w:pPr>
        <w:pStyle w:val="RDParagraph"/>
        <w:rPr>
          <w:lang w:val="en-US"/>
        </w:rPr>
      </w:pPr>
      <w:r>
        <w:rPr>
          <w:lang w:val="en-US"/>
        </w:rPr>
        <w:t>The Good Growth Fund</w:t>
      </w:r>
      <w:r w:rsidR="00F97765">
        <w:rPr>
          <w:lang w:val="en-US"/>
        </w:rPr>
        <w:t xml:space="preserve"> action</w:t>
      </w:r>
      <w:r>
        <w:rPr>
          <w:lang w:val="en-US"/>
        </w:rPr>
        <w:t xml:space="preserve"> area</w:t>
      </w:r>
      <w:r w:rsidR="00F97765">
        <w:rPr>
          <w:lang w:val="en-US"/>
        </w:rPr>
        <w:t xml:space="preserve"> </w:t>
      </w:r>
      <w:r w:rsidR="007E0943">
        <w:rPr>
          <w:lang w:val="en-US"/>
        </w:rPr>
        <w:t>cuts</w:t>
      </w:r>
      <w:r w:rsidR="00F97765">
        <w:rPr>
          <w:lang w:val="en-US"/>
        </w:rPr>
        <w:t xml:space="preserve"> across the Economic Purpose</w:t>
      </w:r>
      <w:r w:rsidR="007E0943">
        <w:rPr>
          <w:lang w:val="en-US"/>
        </w:rPr>
        <w:t xml:space="preserve">: </w:t>
      </w:r>
      <w:r w:rsidR="00F97765">
        <w:rPr>
          <w:lang w:val="en-US"/>
        </w:rPr>
        <w:t>supporting the evolution of the Royal Docks as a place which is known for innovation and as place which is committed to social and environmental outcomes. It will help to build capacity within the local community to play a more active and participatory role in the evolution of the area, and provide learning on ‘what works’ for the rest of Newham and London.</w:t>
      </w:r>
    </w:p>
    <w:p w14:paraId="38ECB4A8" w14:textId="77777777" w:rsidR="00F97765" w:rsidRDefault="00F97765" w:rsidP="00B456B4">
      <w:pPr>
        <w:pStyle w:val="RDParagraph"/>
        <w:rPr>
          <w:lang w:val="en-US"/>
        </w:rPr>
      </w:pPr>
      <w:r>
        <w:rPr>
          <w:lang w:val="en-US"/>
        </w:rPr>
        <w:t xml:space="preserve">Success will ultimately be measured in terms of absolute levels of community participation in the evolution of the area and in local democracy; in the extent to which funding and delivery is ‘devolved’ into the Royal Dock’s places and communities; and in the progress made in responding to major ‘challenge’ topics identified via the process.  </w:t>
      </w:r>
    </w:p>
    <w:p w14:paraId="28D5C5C8" w14:textId="77777777" w:rsidR="00DF2F4F" w:rsidRDefault="00DF2F4F" w:rsidP="00B456B4">
      <w:pPr>
        <w:pStyle w:val="RDTier3"/>
        <w:rPr>
          <w:lang w:val="en-US"/>
        </w:rPr>
      </w:pPr>
    </w:p>
    <w:p w14:paraId="4F70BE2F" w14:textId="543C7A62" w:rsidR="00F97765" w:rsidRDefault="0000585B" w:rsidP="00B456B4">
      <w:pPr>
        <w:pStyle w:val="RDTier3"/>
        <w:rPr>
          <w:lang w:val="en-US"/>
        </w:rPr>
      </w:pPr>
      <w:bookmarkStart w:id="39" w:name="_GoBack"/>
      <w:bookmarkEnd w:id="39"/>
      <w:r>
        <w:rPr>
          <w:lang w:val="en-US"/>
        </w:rPr>
        <w:t>Immediate Actions</w:t>
      </w:r>
    </w:p>
    <w:p w14:paraId="0A00739A" w14:textId="17361B28" w:rsidR="005F384F" w:rsidRDefault="005F384F" w:rsidP="005F384F">
      <w:pPr>
        <w:pStyle w:val="RDBullet"/>
        <w:numPr>
          <w:ilvl w:val="0"/>
          <w:numId w:val="0"/>
        </w:numPr>
        <w:ind w:left="1040" w:hanging="360"/>
        <w:rPr>
          <w:lang w:val="en-US"/>
        </w:rPr>
      </w:pPr>
      <w:r>
        <w:rPr>
          <w:lang w:val="en-US"/>
        </w:rPr>
        <w:t>Immediate actions for year 1 include:</w:t>
      </w:r>
    </w:p>
    <w:p w14:paraId="55C37D61" w14:textId="792B3796" w:rsidR="00DC6E08" w:rsidRPr="004046C6" w:rsidRDefault="004046C6" w:rsidP="00DF2F4F">
      <w:pPr>
        <w:pStyle w:val="RDBullet"/>
        <w:rPr>
          <w:lang w:val="en-US"/>
        </w:rPr>
      </w:pPr>
      <w:r w:rsidRPr="004046C6">
        <w:rPr>
          <w:lang w:val="en-US"/>
        </w:rPr>
        <w:t xml:space="preserve">Work to define the specific activities and remit of the </w:t>
      </w:r>
      <w:r>
        <w:rPr>
          <w:lang w:val="en-US"/>
        </w:rPr>
        <w:t>Social Innovation H</w:t>
      </w:r>
      <w:r w:rsidRPr="004046C6">
        <w:rPr>
          <w:lang w:val="en-US"/>
        </w:rPr>
        <w:t xml:space="preserve">ub, aligning this with broader workspace, business support and employment and skills programmes; </w:t>
      </w:r>
      <w:r>
        <w:rPr>
          <w:lang w:val="en-US"/>
        </w:rPr>
        <w:t xml:space="preserve">and, </w:t>
      </w:r>
      <w:r w:rsidRPr="004046C6">
        <w:rPr>
          <w:lang w:val="en-US"/>
        </w:rPr>
        <w:t xml:space="preserve">based on this, development of the </w:t>
      </w:r>
      <w:r w:rsidR="00DC6E08" w:rsidRPr="004046C6">
        <w:rPr>
          <w:lang w:val="en-US"/>
        </w:rPr>
        <w:t xml:space="preserve">business case </w:t>
      </w:r>
    </w:p>
    <w:p w14:paraId="47ADC868" w14:textId="180D8739" w:rsidR="00DC6E08" w:rsidRPr="00DC6E08" w:rsidRDefault="00DC6E08" w:rsidP="00DC6E08">
      <w:pPr>
        <w:pStyle w:val="RDBullet"/>
        <w:rPr>
          <w:lang w:val="en-US"/>
        </w:rPr>
      </w:pPr>
      <w:r w:rsidRPr="00DC6E08">
        <w:rPr>
          <w:lang w:val="en-US"/>
        </w:rPr>
        <w:t xml:space="preserve">Engagement with GLA </w:t>
      </w:r>
      <w:r w:rsidR="00BA3E0D">
        <w:rPr>
          <w:lang w:val="en-US"/>
        </w:rPr>
        <w:t xml:space="preserve">(including the Social Integration Unit) </w:t>
      </w:r>
      <w:r w:rsidRPr="00DC6E08">
        <w:rPr>
          <w:lang w:val="en-US"/>
        </w:rPr>
        <w:t xml:space="preserve">to position </w:t>
      </w:r>
      <w:r>
        <w:rPr>
          <w:lang w:val="en-US"/>
        </w:rPr>
        <w:t xml:space="preserve">the </w:t>
      </w:r>
      <w:r w:rsidRPr="00DC6E08">
        <w:rPr>
          <w:lang w:val="en-US"/>
        </w:rPr>
        <w:t>hub for the city</w:t>
      </w:r>
      <w:r w:rsidR="00BA3E0D">
        <w:rPr>
          <w:lang w:val="en-US"/>
        </w:rPr>
        <w:t xml:space="preserve"> (i.e. securing Mayoral support for the initiative and avoiding risk of duplication)</w:t>
      </w:r>
    </w:p>
    <w:p w14:paraId="70EE1346" w14:textId="27ABAF1F" w:rsidR="00DC6E08" w:rsidRPr="00DC6E08" w:rsidRDefault="00DC6E08" w:rsidP="00DC6E08">
      <w:pPr>
        <w:pStyle w:val="RDBullet"/>
        <w:rPr>
          <w:lang w:val="en-US"/>
        </w:rPr>
      </w:pPr>
      <w:r w:rsidRPr="00DC6E08">
        <w:rPr>
          <w:lang w:val="en-US"/>
        </w:rPr>
        <w:t>Identification and contracting of third</w:t>
      </w:r>
      <w:r>
        <w:rPr>
          <w:lang w:val="en-US"/>
        </w:rPr>
        <w:t>-</w:t>
      </w:r>
      <w:r w:rsidRPr="00DC6E08">
        <w:rPr>
          <w:lang w:val="en-US"/>
        </w:rPr>
        <w:t xml:space="preserve">party innovation partner to lead </w:t>
      </w:r>
      <w:r w:rsidR="00C52268">
        <w:rPr>
          <w:lang w:val="en-US"/>
        </w:rPr>
        <w:t xml:space="preserve">on the hub </w:t>
      </w:r>
    </w:p>
    <w:p w14:paraId="06E27E0F" w14:textId="05A354C6" w:rsidR="00DC6E08" w:rsidRPr="00DC6E08" w:rsidRDefault="00DC6E08" w:rsidP="00DC6E08">
      <w:pPr>
        <w:pStyle w:val="RDBullet"/>
        <w:rPr>
          <w:lang w:val="en-US"/>
        </w:rPr>
      </w:pPr>
      <w:r w:rsidRPr="00DC6E08">
        <w:rPr>
          <w:lang w:val="en-US"/>
        </w:rPr>
        <w:t xml:space="preserve">Development of </w:t>
      </w:r>
      <w:r w:rsidR="00C52268">
        <w:rPr>
          <w:lang w:val="en-US"/>
        </w:rPr>
        <w:t xml:space="preserve">a </w:t>
      </w:r>
      <w:r w:rsidRPr="00DC6E08">
        <w:rPr>
          <w:lang w:val="en-US"/>
        </w:rPr>
        <w:t xml:space="preserve">framework for </w:t>
      </w:r>
      <w:r w:rsidR="00C52268">
        <w:rPr>
          <w:lang w:val="en-US"/>
        </w:rPr>
        <w:t>the I</w:t>
      </w:r>
      <w:r w:rsidRPr="00DC6E08">
        <w:rPr>
          <w:lang w:val="en-US"/>
        </w:rPr>
        <w:t xml:space="preserve">nnovation </w:t>
      </w:r>
      <w:r w:rsidR="00C52268">
        <w:rPr>
          <w:lang w:val="en-US"/>
        </w:rPr>
        <w:t>C</w:t>
      </w:r>
      <w:r w:rsidRPr="00DC6E08">
        <w:rPr>
          <w:lang w:val="en-US"/>
        </w:rPr>
        <w:t xml:space="preserve">hallenge </w:t>
      </w:r>
      <w:r w:rsidR="00C52268">
        <w:rPr>
          <w:lang w:val="en-US"/>
        </w:rPr>
        <w:t>F</w:t>
      </w:r>
      <w:r w:rsidRPr="00DC6E08">
        <w:rPr>
          <w:lang w:val="en-US"/>
        </w:rPr>
        <w:t xml:space="preserve">und and </w:t>
      </w:r>
      <w:r w:rsidR="00C52268">
        <w:rPr>
          <w:lang w:val="en-US"/>
        </w:rPr>
        <w:t>P</w:t>
      </w:r>
      <w:r w:rsidRPr="00DC6E08">
        <w:rPr>
          <w:lang w:val="en-US"/>
        </w:rPr>
        <w:t xml:space="preserve">articipation </w:t>
      </w:r>
      <w:r w:rsidR="00C52268">
        <w:rPr>
          <w:lang w:val="en-US"/>
        </w:rPr>
        <w:t>F</w:t>
      </w:r>
      <w:r w:rsidRPr="00DC6E08">
        <w:rPr>
          <w:lang w:val="en-US"/>
        </w:rPr>
        <w:t>und</w:t>
      </w:r>
    </w:p>
    <w:p w14:paraId="3A0ABE05" w14:textId="1AEFA117" w:rsidR="00DC6E08" w:rsidRPr="00DC6E08" w:rsidRDefault="00DC6E08" w:rsidP="00DC6E08">
      <w:pPr>
        <w:pStyle w:val="RDBullet"/>
        <w:rPr>
          <w:lang w:val="en-US"/>
        </w:rPr>
      </w:pPr>
      <w:r w:rsidRPr="00DC6E08">
        <w:rPr>
          <w:lang w:val="en-US"/>
        </w:rPr>
        <w:t xml:space="preserve">Design of Royal Docks </w:t>
      </w:r>
      <w:r w:rsidR="005F384F">
        <w:rPr>
          <w:lang w:val="en-US"/>
        </w:rPr>
        <w:t>P</w:t>
      </w:r>
      <w:r w:rsidRPr="00DC6E08">
        <w:rPr>
          <w:lang w:val="en-US"/>
        </w:rPr>
        <w:t xml:space="preserve">rospectus for </w:t>
      </w:r>
      <w:r w:rsidR="005F384F">
        <w:rPr>
          <w:lang w:val="en-US"/>
        </w:rPr>
        <w:t xml:space="preserve">the </w:t>
      </w:r>
      <w:r w:rsidRPr="00DC6E08">
        <w:rPr>
          <w:lang w:val="en-US"/>
        </w:rPr>
        <w:t xml:space="preserve">traditional </w:t>
      </w:r>
      <w:r w:rsidR="005F384F">
        <w:rPr>
          <w:lang w:val="en-US"/>
        </w:rPr>
        <w:t>G</w:t>
      </w:r>
      <w:r w:rsidRPr="00DC6E08">
        <w:rPr>
          <w:lang w:val="en-US"/>
        </w:rPr>
        <w:t xml:space="preserve">ood </w:t>
      </w:r>
      <w:r w:rsidR="005F384F">
        <w:rPr>
          <w:lang w:val="en-US"/>
        </w:rPr>
        <w:t>G</w:t>
      </w:r>
      <w:r w:rsidRPr="00DC6E08">
        <w:rPr>
          <w:lang w:val="en-US"/>
        </w:rPr>
        <w:t xml:space="preserve">rowth </w:t>
      </w:r>
      <w:r w:rsidR="005F384F">
        <w:rPr>
          <w:lang w:val="en-US"/>
        </w:rPr>
        <w:t>F</w:t>
      </w:r>
      <w:r w:rsidRPr="00DC6E08">
        <w:rPr>
          <w:lang w:val="en-US"/>
        </w:rPr>
        <w:t>und, and first call for proposals</w:t>
      </w:r>
    </w:p>
    <w:p w14:paraId="03F7319A" w14:textId="452182EF" w:rsidR="00F97765" w:rsidRDefault="005F384F" w:rsidP="00ED6DA1">
      <w:pPr>
        <w:pStyle w:val="RDBullet"/>
        <w:numPr>
          <w:ilvl w:val="0"/>
          <w:numId w:val="0"/>
        </w:numPr>
        <w:ind w:left="680"/>
        <w:rPr>
          <w:lang w:val="en-US"/>
        </w:rPr>
      </w:pPr>
      <w:r>
        <w:rPr>
          <w:lang w:val="en-US"/>
        </w:rPr>
        <w:t xml:space="preserve">Beyond this, year two would see the </w:t>
      </w:r>
      <w:r w:rsidR="00DC6E08" w:rsidRPr="00DC6E08">
        <w:rPr>
          <w:lang w:val="en-US"/>
        </w:rPr>
        <w:t>establish</w:t>
      </w:r>
      <w:r w:rsidR="00ED6DA1">
        <w:rPr>
          <w:lang w:val="en-US"/>
        </w:rPr>
        <w:t>ment of the H</w:t>
      </w:r>
      <w:r w:rsidR="00DC6E08" w:rsidRPr="00DC6E08">
        <w:rPr>
          <w:lang w:val="en-US"/>
        </w:rPr>
        <w:t>ub and launc</w:t>
      </w:r>
      <w:r w:rsidR="00ED6DA1">
        <w:rPr>
          <w:lang w:val="en-US"/>
        </w:rPr>
        <w:t xml:space="preserve">h of </w:t>
      </w:r>
      <w:r w:rsidR="00DC6E08" w:rsidRPr="00DC6E08">
        <w:rPr>
          <w:lang w:val="en-US"/>
        </w:rPr>
        <w:t xml:space="preserve">the </w:t>
      </w:r>
      <w:r w:rsidR="004A7CE2">
        <w:rPr>
          <w:lang w:val="en-US"/>
        </w:rPr>
        <w:t>Innovation Challenge and Participation Funds, along with a</w:t>
      </w:r>
      <w:r w:rsidR="00DC6E08" w:rsidRPr="00DC6E08">
        <w:rPr>
          <w:lang w:val="en-US"/>
        </w:rPr>
        <w:t xml:space="preserve"> second call for proposals for traditional G</w:t>
      </w:r>
      <w:r w:rsidR="004A7CE2">
        <w:rPr>
          <w:lang w:val="en-US"/>
        </w:rPr>
        <w:t>ood Growth Fund</w:t>
      </w:r>
      <w:r w:rsidR="00DC6E08" w:rsidRPr="00DC6E08">
        <w:rPr>
          <w:lang w:val="en-US"/>
        </w:rPr>
        <w:t>.</w:t>
      </w:r>
    </w:p>
    <w:p w14:paraId="4F1A1F44" w14:textId="77777777" w:rsidR="00E220A6" w:rsidRDefault="00E220A6" w:rsidP="005A5119">
      <w:pPr>
        <w:pStyle w:val="RDTier2"/>
        <w:ind w:left="0" w:firstLine="680"/>
        <w:rPr>
          <w:i/>
          <w:sz w:val="22"/>
          <w:lang w:val="en-US"/>
        </w:rPr>
      </w:pPr>
      <w:r>
        <w:rPr>
          <w:i/>
          <w:sz w:val="22"/>
          <w:lang w:val="en-US"/>
        </w:rPr>
        <w:br w:type="page"/>
      </w:r>
    </w:p>
    <w:p w14:paraId="71468D50" w14:textId="6498A5B6" w:rsidR="005A5119" w:rsidRPr="00595D2C" w:rsidRDefault="005A5119" w:rsidP="005A5119">
      <w:pPr>
        <w:pStyle w:val="RDTier2"/>
        <w:ind w:left="0" w:firstLine="680"/>
        <w:rPr>
          <w:i/>
          <w:sz w:val="22"/>
          <w:lang w:val="en-US"/>
        </w:rPr>
      </w:pPr>
      <w:r w:rsidRPr="00595D2C">
        <w:rPr>
          <w:i/>
          <w:sz w:val="22"/>
          <w:lang w:val="en-US"/>
        </w:rPr>
        <w:t>Table 4.</w:t>
      </w:r>
      <w:r>
        <w:rPr>
          <w:i/>
          <w:sz w:val="22"/>
          <w:lang w:val="en-US"/>
        </w:rPr>
        <w:t>2</w:t>
      </w:r>
      <w:r w:rsidRPr="00595D2C">
        <w:rPr>
          <w:i/>
          <w:sz w:val="22"/>
          <w:lang w:val="en-US"/>
        </w:rPr>
        <w:t xml:space="preserve">: </w:t>
      </w:r>
      <w:r>
        <w:rPr>
          <w:i/>
          <w:sz w:val="22"/>
          <w:lang w:val="en-US"/>
        </w:rPr>
        <w:t xml:space="preserve">Innovation and Challenge: Inspiration and </w:t>
      </w:r>
      <w:r w:rsidR="0044183D">
        <w:rPr>
          <w:i/>
          <w:sz w:val="22"/>
          <w:lang w:val="en-US"/>
        </w:rPr>
        <w:t>Precedents</w:t>
      </w:r>
    </w:p>
    <w:tbl>
      <w:tblPr>
        <w:tblW w:w="8338" w:type="dxa"/>
        <w:tblInd w:w="709" w:type="dxa"/>
        <w:tblLayout w:type="fixed"/>
        <w:tblCellMar>
          <w:left w:w="0" w:type="dxa"/>
          <w:right w:w="0" w:type="dxa"/>
        </w:tblCellMar>
        <w:tblLook w:val="0420" w:firstRow="1" w:lastRow="0" w:firstColumn="0" w:lastColumn="0" w:noHBand="0" w:noVBand="1"/>
      </w:tblPr>
      <w:tblGrid>
        <w:gridCol w:w="1900"/>
        <w:gridCol w:w="6438"/>
      </w:tblGrid>
      <w:tr w:rsidR="004E2E89" w:rsidRPr="00F72A73" w14:paraId="249F33B1" w14:textId="77777777" w:rsidTr="004E2E89">
        <w:trPr>
          <w:trHeight w:val="243"/>
        </w:trPr>
        <w:tc>
          <w:tcPr>
            <w:tcW w:w="1900" w:type="dxa"/>
            <w:tcBorders>
              <w:top w:val="single" w:sz="18" w:space="0" w:color="08445E" w:themeColor="accent2"/>
              <w:left w:val="nil"/>
              <w:bottom w:val="single" w:sz="18" w:space="0" w:color="08445E" w:themeColor="accent2"/>
              <w:right w:val="nil"/>
            </w:tcBorders>
            <w:shd w:val="clear" w:color="auto" w:fill="E9E9EA"/>
            <w:tcMar>
              <w:top w:w="72" w:type="dxa"/>
              <w:left w:w="144" w:type="dxa"/>
              <w:bottom w:w="72" w:type="dxa"/>
              <w:right w:w="144" w:type="dxa"/>
            </w:tcMar>
            <w:vAlign w:val="center"/>
          </w:tcPr>
          <w:p w14:paraId="3AA8312C" w14:textId="0F3F736E" w:rsidR="004E2E89" w:rsidRPr="00F72A73" w:rsidRDefault="004E2E89" w:rsidP="004E2E89">
            <w:pPr>
              <w:pStyle w:val="TableTitleInTable"/>
              <w:jc w:val="center"/>
            </w:pPr>
            <w:r w:rsidRPr="004E2E89">
              <w:rPr>
                <w:color w:val="FF5000" w:themeColor="accent6"/>
              </w:rPr>
              <w:t>Example</w:t>
            </w:r>
          </w:p>
        </w:tc>
        <w:tc>
          <w:tcPr>
            <w:tcW w:w="6438" w:type="dxa"/>
            <w:tcBorders>
              <w:top w:val="single" w:sz="18" w:space="0" w:color="08445E" w:themeColor="accent2"/>
              <w:left w:val="nil"/>
              <w:bottom w:val="single" w:sz="18" w:space="0" w:color="08445E" w:themeColor="accent2"/>
              <w:right w:val="nil"/>
            </w:tcBorders>
            <w:shd w:val="clear" w:color="auto" w:fill="E9E9EA"/>
          </w:tcPr>
          <w:p w14:paraId="3C911353" w14:textId="42A58ACD" w:rsidR="004E2E89" w:rsidRPr="00132E00" w:rsidRDefault="004E2E89" w:rsidP="00FA3139">
            <w:pPr>
              <w:pStyle w:val="TableTitleInTable"/>
              <w:jc w:val="center"/>
              <w:rPr>
                <w:color w:val="FF5000" w:themeColor="accent6"/>
              </w:rPr>
            </w:pPr>
            <w:r>
              <w:rPr>
                <w:color w:val="FF5000" w:themeColor="accent6"/>
              </w:rPr>
              <w:t>Summary and Relevance</w:t>
            </w:r>
          </w:p>
        </w:tc>
      </w:tr>
      <w:tr w:rsidR="004E2E89" w:rsidRPr="00F72A73" w14:paraId="5B6A08AB" w14:textId="77777777" w:rsidTr="004E2E89">
        <w:trPr>
          <w:trHeight w:val="243"/>
        </w:trPr>
        <w:tc>
          <w:tcPr>
            <w:tcW w:w="1900" w:type="dxa"/>
            <w:tcBorders>
              <w:top w:val="single" w:sz="18" w:space="0" w:color="08445E" w:themeColor="accent2"/>
              <w:left w:val="nil"/>
              <w:bottom w:val="single" w:sz="8" w:space="0" w:color="FF5000" w:themeColor="accent6"/>
              <w:right w:val="nil"/>
            </w:tcBorders>
            <w:shd w:val="clear" w:color="auto" w:fill="E9E9EA"/>
            <w:tcMar>
              <w:top w:w="72" w:type="dxa"/>
              <w:left w:w="144" w:type="dxa"/>
              <w:bottom w:w="72" w:type="dxa"/>
              <w:right w:w="144" w:type="dxa"/>
            </w:tcMar>
            <w:vAlign w:val="center"/>
          </w:tcPr>
          <w:p w14:paraId="21C7ECD2" w14:textId="77777777" w:rsidR="004E2E89" w:rsidRDefault="00964166" w:rsidP="00F17D61">
            <w:pPr>
              <w:pStyle w:val="TableTitleInTable"/>
              <w:rPr>
                <w:rFonts w:ascii="Source Sans Pro" w:eastAsia="Yu Gothic UI" w:hAnsi="Source Sans Pro"/>
                <w:b/>
                <w:bCs/>
                <w:color w:val="052D3F" w:themeColor="accent1"/>
                <w:szCs w:val="44"/>
              </w:rPr>
            </w:pPr>
            <w:r w:rsidRPr="00964166">
              <w:rPr>
                <w:rFonts w:ascii="Source Sans Pro" w:eastAsia="Yu Gothic UI" w:hAnsi="Source Sans Pro"/>
                <w:b/>
                <w:bCs/>
                <w:color w:val="052D3F" w:themeColor="accent1"/>
                <w:szCs w:val="44"/>
              </w:rPr>
              <w:t>Seoul Citypreneurs</w:t>
            </w:r>
          </w:p>
          <w:p w14:paraId="2BA4E7DD" w14:textId="6857768C" w:rsidR="00964166" w:rsidRPr="00964166" w:rsidRDefault="00964166" w:rsidP="00F17D61">
            <w:pPr>
              <w:pStyle w:val="TableTitleInTable"/>
              <w:rPr>
                <w:rFonts w:ascii="Source Sans Pro" w:eastAsia="Yu Gothic UI" w:hAnsi="Source Sans Pro"/>
                <w:bCs/>
                <w:color w:val="052D3F" w:themeColor="accent1"/>
                <w:szCs w:val="44"/>
                <w:lang w:val="en-US"/>
              </w:rPr>
            </w:pPr>
            <w:r w:rsidRPr="00964166">
              <w:rPr>
                <w:rFonts w:ascii="Source Sans Pro" w:eastAsia="Yu Gothic UI" w:hAnsi="Source Sans Pro"/>
                <w:bCs/>
                <w:color w:val="052D3F" w:themeColor="accent1"/>
                <w:szCs w:val="44"/>
              </w:rPr>
              <w:t>Seed and challenge funding</w:t>
            </w:r>
          </w:p>
        </w:tc>
        <w:tc>
          <w:tcPr>
            <w:tcW w:w="6438" w:type="dxa"/>
            <w:tcBorders>
              <w:top w:val="single" w:sz="18" w:space="0" w:color="08445E" w:themeColor="accent2"/>
              <w:left w:val="nil"/>
              <w:bottom w:val="single" w:sz="8" w:space="0" w:color="FF5000" w:themeColor="accent6"/>
              <w:right w:val="nil"/>
            </w:tcBorders>
            <w:shd w:val="clear" w:color="auto" w:fill="E9E9EA"/>
            <w:vAlign w:val="center"/>
          </w:tcPr>
          <w:p w14:paraId="18A50D08" w14:textId="30A7A4E4" w:rsidR="00F233A1" w:rsidRPr="00F233A1" w:rsidRDefault="00F233A1" w:rsidP="00F233A1">
            <w:pPr>
              <w:pStyle w:val="TableTitleInTable"/>
              <w:rPr>
                <w:rFonts w:ascii="Source Sans Pro" w:eastAsia="Yu Gothic UI" w:hAnsi="Source Sans Pro"/>
                <w:bCs/>
                <w:color w:val="052D3F"/>
                <w:szCs w:val="44"/>
                <w:lang w:val="en-US"/>
              </w:rPr>
            </w:pPr>
            <w:r w:rsidRPr="00F233A1">
              <w:rPr>
                <w:rFonts w:eastAsia="Yu Gothic UI"/>
                <w:noProof/>
              </w:rPr>
              <w:drawing>
                <wp:anchor distT="0" distB="0" distL="114300" distR="114300" simplePos="0" relativeHeight="251658251" behindDoc="0" locked="0" layoutInCell="1" allowOverlap="1" wp14:anchorId="71D5F237" wp14:editId="48D04A2D">
                  <wp:simplePos x="0" y="0"/>
                  <wp:positionH relativeFrom="column">
                    <wp:posOffset>1889125</wp:posOffset>
                  </wp:positionH>
                  <wp:positionV relativeFrom="paragraph">
                    <wp:posOffset>436880</wp:posOffset>
                  </wp:positionV>
                  <wp:extent cx="2028190" cy="1007110"/>
                  <wp:effectExtent l="0" t="0" r="0" b="2540"/>
                  <wp:wrapSquare wrapText="bothSides"/>
                  <wp:docPr id="7" name="Picture 6">
                    <a:extLst xmlns:a="http://schemas.openxmlformats.org/drawingml/2006/main">
                      <a:ext uri="{FF2B5EF4-FFF2-40B4-BE49-F238E27FC236}">
                        <a16:creationId xmlns:a16="http://schemas.microsoft.com/office/drawing/2014/main" id="{C9C6ECE0-7552-446D-A756-0F2E4F6F4B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9C6ECE0-7552-446D-A756-0F2E4F6F4BC3}"/>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b="32237"/>
                          <a:stretch/>
                        </pic:blipFill>
                        <pic:spPr>
                          <a:xfrm>
                            <a:off x="0" y="0"/>
                            <a:ext cx="2028190" cy="1007110"/>
                          </a:xfrm>
                          <a:prstGeom prst="rect">
                            <a:avLst/>
                          </a:prstGeom>
                        </pic:spPr>
                      </pic:pic>
                    </a:graphicData>
                  </a:graphic>
                  <wp14:sizeRelH relativeFrom="page">
                    <wp14:pctWidth>0</wp14:pctWidth>
                  </wp14:sizeRelH>
                  <wp14:sizeRelV relativeFrom="page">
                    <wp14:pctHeight>0</wp14:pctHeight>
                  </wp14:sizeRelV>
                </wp:anchor>
              </w:drawing>
            </w:r>
            <w:r w:rsidRPr="00F233A1">
              <w:rPr>
                <w:rFonts w:ascii="Source Sans Pro" w:eastAsia="Yu Gothic UI" w:hAnsi="Source Sans Pro"/>
                <w:bCs/>
                <w:color w:val="052D3F"/>
                <w:szCs w:val="44"/>
              </w:rPr>
              <w:t>Seed track and growth track funding for ideas around specific challenges facing the city. These are defined each year and have included:</w:t>
            </w:r>
          </w:p>
          <w:p w14:paraId="0EF1A441" w14:textId="218C03E9" w:rsidR="00F233A1" w:rsidRPr="00F233A1" w:rsidRDefault="00F233A1" w:rsidP="00F233A1">
            <w:pPr>
              <w:pStyle w:val="TableBullet"/>
              <w:rPr>
                <w:rFonts w:ascii="Source Sans Pro" w:eastAsia="Yu Gothic UI" w:hAnsi="Source Sans Pro"/>
                <w:color w:val="052D3F" w:themeColor="accent1"/>
                <w:lang w:val="en-US"/>
              </w:rPr>
            </w:pPr>
            <w:r w:rsidRPr="00F233A1">
              <w:rPr>
                <w:rFonts w:ascii="Source Sans Pro" w:eastAsia="Yu Gothic UI" w:hAnsi="Source Sans Pro"/>
                <w:color w:val="052D3F" w:themeColor="accent1"/>
              </w:rPr>
              <w:t xml:space="preserve">Healthy and active aging </w:t>
            </w:r>
          </w:p>
          <w:p w14:paraId="67371BDD" w14:textId="77777777" w:rsidR="00F233A1" w:rsidRPr="00F233A1" w:rsidRDefault="00F233A1" w:rsidP="00F233A1">
            <w:pPr>
              <w:pStyle w:val="TableBullet"/>
              <w:rPr>
                <w:rFonts w:ascii="Source Sans Pro" w:eastAsia="Yu Gothic UI" w:hAnsi="Source Sans Pro"/>
                <w:color w:val="052D3F" w:themeColor="accent1"/>
                <w:lang w:val="en-US"/>
              </w:rPr>
            </w:pPr>
            <w:r w:rsidRPr="00F233A1">
              <w:rPr>
                <w:rFonts w:ascii="Source Sans Pro" w:eastAsia="Yu Gothic UI" w:hAnsi="Source Sans Pro"/>
                <w:color w:val="052D3F" w:themeColor="accent1"/>
              </w:rPr>
              <w:t>Developing skills</w:t>
            </w:r>
          </w:p>
          <w:p w14:paraId="3657A537" w14:textId="7A6931C7" w:rsidR="004E2E89" w:rsidRPr="00004521" w:rsidRDefault="00F233A1" w:rsidP="00F233A1">
            <w:pPr>
              <w:pStyle w:val="TableBullet"/>
              <w:rPr>
                <w:rFonts w:eastAsia="Yu Gothic UI"/>
              </w:rPr>
            </w:pPr>
            <w:r w:rsidRPr="00F233A1">
              <w:rPr>
                <w:rFonts w:ascii="Source Sans Pro" w:eastAsia="Yu Gothic UI" w:hAnsi="Source Sans Pro"/>
                <w:color w:val="052D3F" w:themeColor="accent1"/>
              </w:rPr>
              <w:t>Green consumption and production</w:t>
            </w:r>
            <w:r w:rsidRPr="00F233A1">
              <w:rPr>
                <w:rFonts w:eastAsiaTheme="minorHAnsi"/>
                <w:noProof/>
                <w:color w:val="052D3F" w:themeColor="accent1"/>
              </w:rPr>
              <w:t xml:space="preserve"> </w:t>
            </w:r>
          </w:p>
        </w:tc>
      </w:tr>
      <w:tr w:rsidR="004E2E89" w:rsidRPr="00F72A73" w14:paraId="073C5ACA" w14:textId="77777777" w:rsidTr="004E2E89">
        <w:trPr>
          <w:trHeight w:val="243"/>
        </w:trPr>
        <w:tc>
          <w:tcPr>
            <w:tcW w:w="190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36B9AFFA" w14:textId="693F7999" w:rsidR="004E2E89" w:rsidRPr="00004521" w:rsidRDefault="00823229" w:rsidP="00F17D61">
            <w:pPr>
              <w:pStyle w:val="TableTitleInTable"/>
              <w:rPr>
                <w:rFonts w:ascii="Source Sans Pro" w:eastAsia="Yu Gothic UI" w:hAnsi="Source Sans Pro"/>
                <w:b/>
                <w:bCs/>
                <w:color w:val="052D3F" w:themeColor="accent1"/>
                <w:szCs w:val="44"/>
                <w:lang w:val="en-US"/>
              </w:rPr>
            </w:pPr>
            <w:r w:rsidRPr="00823229">
              <w:rPr>
                <w:rFonts w:ascii="Source Sans Pro" w:eastAsia="Yu Gothic UI" w:hAnsi="Source Sans Pro"/>
                <w:b/>
                <w:bCs/>
                <w:color w:val="052D3F" w:themeColor="accent1"/>
                <w:szCs w:val="44"/>
              </w:rPr>
              <w:t>Innovation Growth Lab</w:t>
            </w:r>
          </w:p>
        </w:tc>
        <w:tc>
          <w:tcPr>
            <w:tcW w:w="6438" w:type="dxa"/>
            <w:tcBorders>
              <w:top w:val="single" w:sz="8" w:space="0" w:color="FF5000" w:themeColor="accent6"/>
              <w:left w:val="nil"/>
              <w:bottom w:val="single" w:sz="8" w:space="0" w:color="FF5000" w:themeColor="accent6"/>
              <w:right w:val="nil"/>
            </w:tcBorders>
            <w:vAlign w:val="center"/>
          </w:tcPr>
          <w:p w14:paraId="37490472" w14:textId="671B1ABA" w:rsidR="004E2E89" w:rsidRPr="0006591F" w:rsidRDefault="00823229" w:rsidP="00823229">
            <w:pPr>
              <w:pStyle w:val="TableTitleInTable"/>
              <w:rPr>
                <w:rFonts w:ascii="Source Sans Pro" w:eastAsia="Yu Gothic UI" w:hAnsi="Source Sans Pro"/>
                <w:bCs/>
                <w:color w:val="052D3F"/>
                <w:szCs w:val="44"/>
                <w:lang w:val="en-US"/>
              </w:rPr>
            </w:pPr>
            <w:r w:rsidRPr="00823229">
              <w:rPr>
                <w:rFonts w:ascii="Source Sans Pro" w:eastAsia="Yu Gothic UI" w:hAnsi="Source Sans Pro"/>
                <w:bCs/>
                <w:noProof/>
                <w:color w:val="052D3F"/>
                <w:szCs w:val="44"/>
              </w:rPr>
              <w:drawing>
                <wp:anchor distT="0" distB="0" distL="114300" distR="114300" simplePos="0" relativeHeight="251658252" behindDoc="0" locked="0" layoutInCell="1" allowOverlap="1" wp14:anchorId="5403ACAA" wp14:editId="7FDC412A">
                  <wp:simplePos x="0" y="0"/>
                  <wp:positionH relativeFrom="column">
                    <wp:posOffset>2091690</wp:posOffset>
                  </wp:positionH>
                  <wp:positionV relativeFrom="paragraph">
                    <wp:posOffset>590550</wp:posOffset>
                  </wp:positionV>
                  <wp:extent cx="1823720" cy="664210"/>
                  <wp:effectExtent l="0" t="0" r="5080" b="2540"/>
                  <wp:wrapSquare wrapText="bothSides"/>
                  <wp:docPr id="15" name="Picture 14">
                    <a:extLst xmlns:a="http://schemas.openxmlformats.org/drawingml/2006/main">
                      <a:ext uri="{FF2B5EF4-FFF2-40B4-BE49-F238E27FC236}">
                        <a16:creationId xmlns:a16="http://schemas.microsoft.com/office/drawing/2014/main" id="{007E46B9-2A2E-4255-9657-8FB349C109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07E46B9-2A2E-4255-9657-8FB349C10993}"/>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3720" cy="664210"/>
                          </a:xfrm>
                          <a:prstGeom prst="rect">
                            <a:avLst/>
                          </a:prstGeom>
                        </pic:spPr>
                      </pic:pic>
                    </a:graphicData>
                  </a:graphic>
                  <wp14:sizeRelH relativeFrom="page">
                    <wp14:pctWidth>0</wp14:pctWidth>
                  </wp14:sizeRelH>
                  <wp14:sizeRelV relativeFrom="page">
                    <wp14:pctHeight>0</wp14:pctHeight>
                  </wp14:sizeRelV>
                </wp:anchor>
              </w:drawing>
            </w:r>
            <w:r w:rsidRPr="00823229">
              <w:rPr>
                <w:rFonts w:ascii="Source Sans Pro" w:eastAsia="Yu Gothic UI" w:hAnsi="Source Sans Pro"/>
                <w:bCs/>
                <w:color w:val="052D3F"/>
                <w:szCs w:val="44"/>
                <w:lang w:val="en-US"/>
              </w:rPr>
              <w:t>A global laboratory for innovation and growth policy, bringing together governments, researchers and foundations to trial new approaches to increase innovation, accelerate high-growth entrepreneurship and support business growth.</w:t>
            </w:r>
            <w:r>
              <w:rPr>
                <w:rFonts w:ascii="Source Sans Pro" w:eastAsia="Yu Gothic UI" w:hAnsi="Source Sans Pro"/>
                <w:bCs/>
                <w:color w:val="052D3F"/>
                <w:szCs w:val="44"/>
                <w:lang w:val="en-US"/>
              </w:rPr>
              <w:t xml:space="preserve"> </w:t>
            </w:r>
            <w:r w:rsidRPr="00823229">
              <w:rPr>
                <w:rFonts w:ascii="Source Sans Pro" w:eastAsia="Yu Gothic UI" w:hAnsi="Source Sans Pro"/>
                <w:bCs/>
                <w:color w:val="052D3F"/>
                <w:szCs w:val="44"/>
                <w:lang w:val="en-US"/>
              </w:rPr>
              <w:t>Seeks to provide better evidence of change and positive interventions</w:t>
            </w:r>
            <w:r>
              <w:rPr>
                <w:rFonts w:ascii="Source Sans Pro" w:eastAsia="Yu Gothic UI" w:hAnsi="Source Sans Pro"/>
                <w:bCs/>
                <w:color w:val="052D3F"/>
                <w:szCs w:val="44"/>
                <w:lang w:val="en-US"/>
              </w:rPr>
              <w:t>.</w:t>
            </w:r>
            <w:r w:rsidRPr="00823229">
              <w:rPr>
                <w:noProof/>
              </w:rPr>
              <w:t xml:space="preserve"> </w:t>
            </w:r>
          </w:p>
        </w:tc>
      </w:tr>
      <w:tr w:rsidR="004E2E89" w:rsidRPr="00F72A73" w14:paraId="0E5B993A" w14:textId="77777777" w:rsidTr="004E2E89">
        <w:trPr>
          <w:trHeight w:val="243"/>
        </w:trPr>
        <w:tc>
          <w:tcPr>
            <w:tcW w:w="1900" w:type="dxa"/>
            <w:tcBorders>
              <w:top w:val="single" w:sz="8" w:space="0" w:color="FF5000" w:themeColor="accent6"/>
              <w:left w:val="nil"/>
              <w:bottom w:val="single" w:sz="8" w:space="0" w:color="FF5000" w:themeColor="accent6"/>
              <w:right w:val="nil"/>
            </w:tcBorders>
            <w:shd w:val="clear" w:color="auto" w:fill="E9E9EA"/>
            <w:tcMar>
              <w:top w:w="72" w:type="dxa"/>
              <w:left w:w="144" w:type="dxa"/>
              <w:bottom w:w="72" w:type="dxa"/>
              <w:right w:w="144" w:type="dxa"/>
            </w:tcMar>
            <w:vAlign w:val="center"/>
          </w:tcPr>
          <w:p w14:paraId="0DC98CF6" w14:textId="57B82F35" w:rsidR="004E2E89" w:rsidRPr="00004521" w:rsidRDefault="00A040FA" w:rsidP="00F17D61">
            <w:pPr>
              <w:pStyle w:val="TableTitleInTable"/>
              <w:rPr>
                <w:rFonts w:ascii="Source Sans Pro" w:eastAsia="Yu Gothic UI" w:hAnsi="Source Sans Pro"/>
                <w:b/>
                <w:bCs/>
                <w:color w:val="052D3F" w:themeColor="accent1"/>
                <w:szCs w:val="44"/>
                <w:lang w:val="en-US"/>
              </w:rPr>
            </w:pPr>
            <w:r w:rsidRPr="00A040FA">
              <w:rPr>
                <w:rFonts w:ascii="Source Sans Pro" w:eastAsia="Yu Gothic UI" w:hAnsi="Source Sans Pro"/>
                <w:b/>
                <w:bCs/>
                <w:color w:val="052D3F" w:themeColor="accent1"/>
                <w:szCs w:val="44"/>
              </w:rPr>
              <w:t>London Co-Investment Fund</w:t>
            </w:r>
          </w:p>
        </w:tc>
        <w:tc>
          <w:tcPr>
            <w:tcW w:w="6438" w:type="dxa"/>
            <w:tcBorders>
              <w:top w:val="single" w:sz="8" w:space="0" w:color="FF5000" w:themeColor="accent6"/>
              <w:left w:val="nil"/>
              <w:bottom w:val="single" w:sz="8" w:space="0" w:color="FF5000" w:themeColor="accent6"/>
              <w:right w:val="nil"/>
            </w:tcBorders>
            <w:shd w:val="clear" w:color="auto" w:fill="E9E9EA"/>
            <w:vAlign w:val="center"/>
          </w:tcPr>
          <w:p w14:paraId="7C1A0C6D" w14:textId="465883D7" w:rsidR="004E2E89" w:rsidRPr="00143B28" w:rsidRDefault="00A040FA" w:rsidP="00272E82">
            <w:pPr>
              <w:pStyle w:val="TableTitleInTable"/>
              <w:rPr>
                <w:rFonts w:ascii="Source Sans Pro" w:eastAsia="Yu Gothic UI" w:hAnsi="Source Sans Pro"/>
                <w:bCs/>
                <w:color w:val="052D3F"/>
                <w:szCs w:val="44"/>
                <w:lang w:val="en-US"/>
              </w:rPr>
            </w:pPr>
            <w:r w:rsidRPr="00A040FA">
              <w:rPr>
                <w:rFonts w:ascii="Source Sans Pro" w:eastAsia="Yu Gothic UI" w:hAnsi="Source Sans Pro"/>
                <w:bCs/>
                <w:noProof/>
                <w:color w:val="052D3F"/>
                <w:szCs w:val="44"/>
              </w:rPr>
              <w:drawing>
                <wp:anchor distT="0" distB="0" distL="114300" distR="114300" simplePos="0" relativeHeight="251658253" behindDoc="0" locked="0" layoutInCell="1" allowOverlap="1" wp14:anchorId="152B721A" wp14:editId="4735C32B">
                  <wp:simplePos x="0" y="0"/>
                  <wp:positionH relativeFrom="column">
                    <wp:posOffset>1541780</wp:posOffset>
                  </wp:positionH>
                  <wp:positionV relativeFrom="paragraph">
                    <wp:posOffset>502920</wp:posOffset>
                  </wp:positionV>
                  <wp:extent cx="2447925" cy="762000"/>
                  <wp:effectExtent l="0" t="0" r="9525" b="0"/>
                  <wp:wrapSquare wrapText="bothSides"/>
                  <wp:docPr id="21" name="Picture 20">
                    <a:extLst xmlns:a="http://schemas.openxmlformats.org/drawingml/2006/main">
                      <a:ext uri="{FF2B5EF4-FFF2-40B4-BE49-F238E27FC236}">
                        <a16:creationId xmlns:a16="http://schemas.microsoft.com/office/drawing/2014/main" id="{FE4562EC-7AA9-4A22-9073-66FBA0433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FE4562EC-7AA9-4A22-9073-66FBA0433CAE}"/>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47925" cy="762000"/>
                          </a:xfrm>
                          <a:prstGeom prst="rect">
                            <a:avLst/>
                          </a:prstGeom>
                        </pic:spPr>
                      </pic:pic>
                    </a:graphicData>
                  </a:graphic>
                  <wp14:sizeRelH relativeFrom="page">
                    <wp14:pctWidth>0</wp14:pctWidth>
                  </wp14:sizeRelH>
                  <wp14:sizeRelV relativeFrom="page">
                    <wp14:pctHeight>0</wp14:pctHeight>
                  </wp14:sizeRelV>
                </wp:anchor>
              </w:drawing>
            </w:r>
            <w:r w:rsidRPr="00A040FA">
              <w:rPr>
                <w:rFonts w:asciiTheme="majorHAnsi" w:eastAsiaTheme="minorEastAsia" w:hAnsi="Source Sans Pro Light" w:cstheme="minorBidi"/>
                <w:color w:val="000000" w:themeColor="text1"/>
                <w:kern w:val="24"/>
                <w:sz w:val="18"/>
                <w:szCs w:val="18"/>
                <w:lang w:val="en-US"/>
              </w:rPr>
              <w:t xml:space="preserve"> </w:t>
            </w:r>
            <w:r w:rsidRPr="00A040FA">
              <w:rPr>
                <w:rFonts w:ascii="Source Sans Pro" w:eastAsia="Yu Gothic UI" w:hAnsi="Source Sans Pro"/>
                <w:bCs/>
                <w:color w:val="052D3F"/>
                <w:szCs w:val="44"/>
                <w:lang w:val="en-US"/>
              </w:rPr>
              <w:t>The fund provides early stage equity funding for London SMEs as part of a portfolio of investments. Beginning in May 2019, the fund has already supported investments in a range of enterprise which blend commercial viability with positive economic or social outcomes</w:t>
            </w:r>
            <w:r w:rsidR="00272E82">
              <w:rPr>
                <w:rFonts w:ascii="Source Sans Pro" w:eastAsia="Yu Gothic UI" w:hAnsi="Source Sans Pro"/>
                <w:bCs/>
                <w:color w:val="052D3F"/>
                <w:szCs w:val="44"/>
                <w:lang w:val="en-US"/>
              </w:rPr>
              <w:t>.</w:t>
            </w:r>
          </w:p>
        </w:tc>
      </w:tr>
      <w:tr w:rsidR="004E2E89" w:rsidRPr="00F72A73" w14:paraId="1BD5537A" w14:textId="77777777" w:rsidTr="005D7C07">
        <w:trPr>
          <w:trHeight w:val="243"/>
        </w:trPr>
        <w:tc>
          <w:tcPr>
            <w:tcW w:w="190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1D568424" w14:textId="18855646" w:rsidR="004E2E89" w:rsidRPr="00004521" w:rsidRDefault="00272E82" w:rsidP="00F17D61">
            <w:pPr>
              <w:pStyle w:val="TableTitleInTable"/>
              <w:rPr>
                <w:rFonts w:ascii="Source Sans Pro" w:eastAsia="Yu Gothic UI" w:hAnsi="Source Sans Pro"/>
                <w:b/>
                <w:bCs/>
                <w:color w:val="052D3F" w:themeColor="accent1"/>
                <w:szCs w:val="44"/>
                <w:lang w:val="en-US"/>
              </w:rPr>
            </w:pPr>
            <w:r w:rsidRPr="00272E82">
              <w:rPr>
                <w:rFonts w:ascii="Source Sans Pro" w:eastAsia="Yu Gothic UI" w:hAnsi="Source Sans Pro"/>
                <w:b/>
                <w:bCs/>
                <w:color w:val="052D3F" w:themeColor="accent1"/>
                <w:szCs w:val="44"/>
              </w:rPr>
              <w:t>Purple Shoots</w:t>
            </w:r>
          </w:p>
        </w:tc>
        <w:tc>
          <w:tcPr>
            <w:tcW w:w="6438" w:type="dxa"/>
            <w:tcBorders>
              <w:top w:val="single" w:sz="8" w:space="0" w:color="FF5000" w:themeColor="accent6"/>
              <w:left w:val="nil"/>
              <w:bottom w:val="single" w:sz="8" w:space="0" w:color="FF5000" w:themeColor="accent6"/>
              <w:right w:val="nil"/>
            </w:tcBorders>
            <w:shd w:val="clear" w:color="auto" w:fill="FFFFFF"/>
            <w:vAlign w:val="center"/>
          </w:tcPr>
          <w:p w14:paraId="6B14E656" w14:textId="0B44CB05" w:rsidR="004E2E89" w:rsidRPr="00272E82" w:rsidRDefault="00D040DC" w:rsidP="00A94554">
            <w:pPr>
              <w:pStyle w:val="TableTitleInTable"/>
              <w:jc w:val="both"/>
              <w:rPr>
                <w:rFonts w:ascii="Source Sans Pro" w:eastAsia="Yu Gothic UI" w:hAnsi="Source Sans Pro"/>
                <w:bCs/>
                <w:color w:val="052D3F"/>
                <w:szCs w:val="44"/>
                <w:lang w:val="en-US"/>
              </w:rPr>
            </w:pPr>
            <w:r w:rsidRPr="00D040DC">
              <w:rPr>
                <w:rFonts w:ascii="Source Sans Pro" w:eastAsia="Yu Gothic UI" w:hAnsi="Source Sans Pro"/>
                <w:bCs/>
                <w:noProof/>
                <w:color w:val="052D3F"/>
                <w:szCs w:val="44"/>
              </w:rPr>
              <w:drawing>
                <wp:anchor distT="0" distB="0" distL="114300" distR="114300" simplePos="0" relativeHeight="251658254" behindDoc="0" locked="0" layoutInCell="1" allowOverlap="1" wp14:anchorId="6005E7C3" wp14:editId="58E3B54D">
                  <wp:simplePos x="0" y="0"/>
                  <wp:positionH relativeFrom="column">
                    <wp:posOffset>2130425</wp:posOffset>
                  </wp:positionH>
                  <wp:positionV relativeFrom="paragraph">
                    <wp:posOffset>156210</wp:posOffset>
                  </wp:positionV>
                  <wp:extent cx="1809115" cy="821055"/>
                  <wp:effectExtent l="0" t="0" r="635" b="0"/>
                  <wp:wrapSquare wrapText="bothSides"/>
                  <wp:docPr id="22" name="Picture 21">
                    <a:extLst xmlns:a="http://schemas.openxmlformats.org/drawingml/2006/main">
                      <a:ext uri="{FF2B5EF4-FFF2-40B4-BE49-F238E27FC236}">
                        <a16:creationId xmlns:a16="http://schemas.microsoft.com/office/drawing/2014/main" id="{855DCA68-4124-4DA5-96BB-E7A1AC4C3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855DCA68-4124-4DA5-96BB-E7A1AC4C32D2}"/>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09115" cy="821055"/>
                          </a:xfrm>
                          <a:prstGeom prst="rect">
                            <a:avLst/>
                          </a:prstGeom>
                        </pic:spPr>
                      </pic:pic>
                    </a:graphicData>
                  </a:graphic>
                  <wp14:sizeRelH relativeFrom="page">
                    <wp14:pctWidth>0</wp14:pctWidth>
                  </wp14:sizeRelH>
                  <wp14:sizeRelV relativeFrom="page">
                    <wp14:pctHeight>0</wp14:pctHeight>
                  </wp14:sizeRelV>
                </wp:anchor>
              </w:drawing>
            </w:r>
            <w:r w:rsidR="00272E82" w:rsidRPr="00272E82">
              <w:rPr>
                <w:rFonts w:ascii="Source Sans Pro" w:eastAsia="Yu Gothic UI" w:hAnsi="Source Sans Pro"/>
                <w:bCs/>
                <w:color w:val="052D3F"/>
                <w:szCs w:val="44"/>
                <w:lang w:val="en-US"/>
              </w:rPr>
              <w:t>£500-£3000 loans to support individuals with initial business ideas. Limited terms and risk with wraparound non-financial support. Money is invested locally with the development of local capacity a key outcome.</w:t>
            </w:r>
            <w:r w:rsidRPr="00D040DC">
              <w:rPr>
                <w:noProof/>
              </w:rPr>
              <w:t xml:space="preserve"> </w:t>
            </w:r>
          </w:p>
        </w:tc>
      </w:tr>
    </w:tbl>
    <w:p w14:paraId="0104DD99" w14:textId="7D8A9A20" w:rsidR="0053770B" w:rsidRDefault="005A5119" w:rsidP="005A5119">
      <w:pPr>
        <w:pStyle w:val="RDParagraph"/>
      </w:pPr>
      <w:r>
        <w:tab/>
      </w:r>
      <w:r w:rsidR="0053770B">
        <w:br w:type="page"/>
      </w:r>
    </w:p>
    <w:p w14:paraId="0CB6EDB0" w14:textId="33D3DF3F" w:rsidR="00403D70" w:rsidRDefault="00403D70" w:rsidP="00403D70">
      <w:pPr>
        <w:pStyle w:val="RDTier2"/>
      </w:pPr>
      <w:r>
        <w:t>ECO 2</w:t>
      </w:r>
      <w:r w:rsidR="004908D5">
        <w:t xml:space="preserve">. </w:t>
      </w:r>
      <w:r>
        <w:t>Employment and Skills</w:t>
      </w:r>
      <w:r w:rsidR="004908D5">
        <w:t>: Realising Local Talent</w:t>
      </w:r>
    </w:p>
    <w:p w14:paraId="73C0D400" w14:textId="477D5297" w:rsidR="006168D1" w:rsidRDefault="006168D1" w:rsidP="006168D1">
      <w:pPr>
        <w:pStyle w:val="RDParagraph"/>
      </w:pPr>
      <w:r>
        <w:t xml:space="preserve">Delivered successfully, the Royal Docks will support over 40,000 new jobs. These will vary across sectors, skills and pay levels, providing significant opportunities for local people. Currently, after a decade of successful delivery, Newham </w:t>
      </w:r>
      <w:r w:rsidR="00D535AA">
        <w:t xml:space="preserve">Council </w:t>
      </w:r>
      <w:r>
        <w:t xml:space="preserve">is reviewing and repositioning its </w:t>
      </w:r>
      <w:r w:rsidR="00D535AA">
        <w:t xml:space="preserve">employment brokerage </w:t>
      </w:r>
      <w:r w:rsidR="002B0390">
        <w:t xml:space="preserve">model: Newham </w:t>
      </w:r>
      <w:r>
        <w:t>Workplace</w:t>
      </w:r>
      <w:r w:rsidR="002B0390">
        <w:t>. This</w:t>
      </w:r>
      <w:r>
        <w:t xml:space="preserve"> provid</w:t>
      </w:r>
      <w:r w:rsidR="002B0390">
        <w:t>es</w:t>
      </w:r>
      <w:r>
        <w:t xml:space="preserve"> the ideal time to pilot and embed new ideas, which not only connect local people to good employment and training opportunities, but also provide a comparative advantage to employers looking for a skilled motivated workforce.</w:t>
      </w:r>
    </w:p>
    <w:p w14:paraId="1FF193F1" w14:textId="77777777" w:rsidR="007010D2" w:rsidRPr="007561BD" w:rsidRDefault="007010D2" w:rsidP="007010D2">
      <w:pPr>
        <w:pStyle w:val="RDTier3"/>
      </w:pPr>
      <w:r w:rsidRPr="007561BD">
        <w:t xml:space="preserve">Investment </w:t>
      </w:r>
      <w:r>
        <w:t>Parameters</w:t>
      </w:r>
    </w:p>
    <w:p w14:paraId="4889E71F" w14:textId="78D342F3" w:rsidR="006168D1" w:rsidRPr="007010D2" w:rsidRDefault="006168D1" w:rsidP="00C42059">
      <w:pPr>
        <w:pStyle w:val="RDParagraph"/>
      </w:pPr>
      <w:r w:rsidRPr="007010D2">
        <w:t xml:space="preserve">The current </w:t>
      </w:r>
      <w:r w:rsidR="002B0390">
        <w:t>Delivery Plan PID</w:t>
      </w:r>
      <w:r w:rsidRPr="007010D2">
        <w:t xml:space="preserve"> focusses directly on addressing the barriers between larger employers and those furthest from the labour market. It arguably does not reflect the complexity of the local economy and the opportunity to lever more value from the SME economy. Specific points of note include:</w:t>
      </w:r>
    </w:p>
    <w:p w14:paraId="6D746FB8" w14:textId="77777777" w:rsidR="006168D1" w:rsidRPr="007010D2" w:rsidRDefault="006168D1" w:rsidP="00C42059">
      <w:pPr>
        <w:pStyle w:val="RDBullet"/>
        <w:rPr>
          <w:lang w:val="en-US"/>
        </w:rPr>
      </w:pPr>
      <w:r w:rsidRPr="007010D2">
        <w:t>A focus “career level jobs within the royal docks business eco-system”</w:t>
      </w:r>
    </w:p>
    <w:p w14:paraId="26EECF6B" w14:textId="77777777" w:rsidR="006168D1" w:rsidRPr="007010D2" w:rsidRDefault="006168D1" w:rsidP="00C42059">
      <w:pPr>
        <w:pStyle w:val="RDBullet"/>
        <w:rPr>
          <w:lang w:val="en-US"/>
        </w:rPr>
      </w:pPr>
      <w:r w:rsidRPr="007010D2">
        <w:t>Targeting candidates who are “individuals with drive and potential but lacking academic record”</w:t>
      </w:r>
    </w:p>
    <w:p w14:paraId="3298132A" w14:textId="03276849" w:rsidR="006168D1" w:rsidRPr="007010D2" w:rsidRDefault="006168D1" w:rsidP="00C42059">
      <w:pPr>
        <w:pStyle w:val="RDBullet"/>
        <w:rPr>
          <w:lang w:val="en-US"/>
        </w:rPr>
      </w:pPr>
      <w:r w:rsidRPr="007010D2">
        <w:t>Recognising the need for “high-level buy in from employers”</w:t>
      </w:r>
      <w:r w:rsidR="007010D2" w:rsidRPr="007010D2">
        <w:t>.</w:t>
      </w:r>
    </w:p>
    <w:p w14:paraId="09B0431D" w14:textId="0AF195C9" w:rsidR="00FB1CEC" w:rsidRDefault="003C24AD" w:rsidP="00955008">
      <w:pPr>
        <w:pStyle w:val="RDParagraph"/>
        <w:rPr>
          <w:lang w:val="en-US"/>
        </w:rPr>
      </w:pPr>
      <w:r>
        <w:rPr>
          <w:lang w:val="en-US"/>
        </w:rPr>
        <w:t>I</w:t>
      </w:r>
      <w:r w:rsidR="00FB1CEC">
        <w:rPr>
          <w:lang w:val="en-US"/>
        </w:rPr>
        <w:t>n the context of New</w:t>
      </w:r>
      <w:r w:rsidR="00D771A5">
        <w:rPr>
          <w:lang w:val="en-US"/>
        </w:rPr>
        <w:t>h</w:t>
      </w:r>
      <w:r w:rsidR="00FB1CEC">
        <w:rPr>
          <w:lang w:val="en-US"/>
        </w:rPr>
        <w:t xml:space="preserve">am’s Community </w:t>
      </w:r>
      <w:r w:rsidR="00CB636A">
        <w:rPr>
          <w:lang w:val="en-US"/>
        </w:rPr>
        <w:t>Wealth</w:t>
      </w:r>
      <w:r w:rsidR="00FB1CEC">
        <w:rPr>
          <w:lang w:val="en-US"/>
        </w:rPr>
        <w:t xml:space="preserve"> Building objectives, </w:t>
      </w:r>
      <w:r>
        <w:rPr>
          <w:lang w:val="en-US"/>
        </w:rPr>
        <w:t>and</w:t>
      </w:r>
      <w:r w:rsidR="00CB636A">
        <w:rPr>
          <w:lang w:val="en-US"/>
        </w:rPr>
        <w:t xml:space="preserve"> in the context of the significant barriers to economic and social participation which exist within local communities</w:t>
      </w:r>
      <w:r>
        <w:rPr>
          <w:lang w:val="en-US"/>
        </w:rPr>
        <w:t>, the Employment and Skills delivery area is fundamentally important to the future success of the Royal Dock’s</w:t>
      </w:r>
      <w:r w:rsidR="00CB636A">
        <w:rPr>
          <w:lang w:val="en-US"/>
        </w:rPr>
        <w:t xml:space="preserve">. </w:t>
      </w:r>
      <w:r w:rsidR="00D771A5">
        <w:rPr>
          <w:lang w:val="en-US"/>
        </w:rPr>
        <w:t xml:space="preserve"> </w:t>
      </w:r>
    </w:p>
    <w:p w14:paraId="36DE915E" w14:textId="42D7E953" w:rsidR="00955008" w:rsidRDefault="00BF2780" w:rsidP="003C24AD">
      <w:pPr>
        <w:pStyle w:val="RDParagraph"/>
        <w:rPr>
          <w:lang w:val="en-US"/>
        </w:rPr>
      </w:pPr>
      <w:r>
        <w:rPr>
          <w:lang w:val="en-US"/>
        </w:rPr>
        <w:t>G</w:t>
      </w:r>
      <w:r w:rsidR="003C24AD">
        <w:rPr>
          <w:lang w:val="en-US"/>
        </w:rPr>
        <w:t xml:space="preserve">iven the need to connect residents to opportunities within the Royal Docks, and to spread the benefits to the whole of the borough, there is a clear rationale to allocate additional funding to Employment and Skills delivery, over and above the £4m currently </w:t>
      </w:r>
      <w:r w:rsidR="008E6491">
        <w:rPr>
          <w:lang w:val="en-US"/>
        </w:rPr>
        <w:t>ringfenced</w:t>
      </w:r>
      <w:r w:rsidR="003C24AD">
        <w:rPr>
          <w:lang w:val="en-US"/>
        </w:rPr>
        <w:t xml:space="preserve"> </w:t>
      </w:r>
      <w:r w:rsidR="008E6491">
        <w:rPr>
          <w:lang w:val="en-US"/>
        </w:rPr>
        <w:t xml:space="preserve">and </w:t>
      </w:r>
      <w:r w:rsidR="00955008">
        <w:rPr>
          <w:lang w:val="en-US"/>
        </w:rPr>
        <w:t xml:space="preserve">roughly </w:t>
      </w:r>
      <w:r w:rsidR="008E6491">
        <w:rPr>
          <w:lang w:val="en-US"/>
        </w:rPr>
        <w:t xml:space="preserve">equating </w:t>
      </w:r>
      <w:r w:rsidR="00955008">
        <w:rPr>
          <w:lang w:val="en-US"/>
        </w:rPr>
        <w:t>1% of total public investment</w:t>
      </w:r>
      <w:r w:rsidR="008E6491">
        <w:rPr>
          <w:lang w:val="en-US"/>
        </w:rPr>
        <w:t>.</w:t>
      </w:r>
    </w:p>
    <w:p w14:paraId="44EF4AF9" w14:textId="2F9E1219" w:rsidR="00FF5C56" w:rsidRPr="00D833EB" w:rsidRDefault="00FF5C56" w:rsidP="00FF5C56">
      <w:pPr>
        <w:pStyle w:val="RDBullet"/>
        <w:numPr>
          <w:ilvl w:val="0"/>
          <w:numId w:val="0"/>
        </w:numPr>
        <w:spacing w:before="240" w:after="240"/>
        <w:ind w:left="680"/>
        <w:rPr>
          <w:lang w:val="en-US"/>
        </w:rPr>
      </w:pPr>
      <w:r>
        <w:t>There is also a case to r</w:t>
      </w:r>
      <w:r w:rsidRPr="00D833EB">
        <w:t xml:space="preserve">ename to </w:t>
      </w:r>
      <w:r>
        <w:t xml:space="preserve">project area to </w:t>
      </w:r>
      <w:r w:rsidRPr="00D833EB">
        <w:t>provide a clear</w:t>
      </w:r>
      <w:r>
        <w:t>er</w:t>
      </w:r>
      <w:r w:rsidRPr="00D833EB">
        <w:t xml:space="preserve"> link to opportunity, place and progression</w:t>
      </w:r>
      <w:r>
        <w:t xml:space="preserve">. This might </w:t>
      </w:r>
      <w:r w:rsidR="00222E3C">
        <w:t>include</w:t>
      </w:r>
      <w:r>
        <w:t xml:space="preserve"> a Royal Docks brand/sub-brand to promote the opportunity and the area to the wider population</w:t>
      </w:r>
      <w:r w:rsidR="00222E3C">
        <w:t xml:space="preserve">. </w:t>
      </w:r>
    </w:p>
    <w:p w14:paraId="161EEA09" w14:textId="0F9B7922" w:rsidR="00674D82" w:rsidRDefault="00674D82" w:rsidP="00674D82">
      <w:pPr>
        <w:pStyle w:val="RDTier3"/>
      </w:pPr>
      <w:r>
        <w:t>Delivery Focus</w:t>
      </w:r>
    </w:p>
    <w:p w14:paraId="747C2090" w14:textId="74B90E45" w:rsidR="00BF2780" w:rsidRDefault="00BF2780" w:rsidP="00BF2780">
      <w:pPr>
        <w:pStyle w:val="RDParagraph"/>
        <w:rPr>
          <w:lang w:val="en-US"/>
        </w:rPr>
      </w:pPr>
      <w:r>
        <w:rPr>
          <w:lang w:val="en-US"/>
        </w:rPr>
        <w:t>Much of the final employment and skills programme will be informed by the review of Newham Workplace which is currently ongoing</w:t>
      </w:r>
      <w:r w:rsidR="00245E47">
        <w:rPr>
          <w:lang w:val="en-US"/>
        </w:rPr>
        <w:t>,</w:t>
      </w:r>
      <w:r>
        <w:rPr>
          <w:lang w:val="en-US"/>
        </w:rPr>
        <w:t xml:space="preserve"> and which will provide clear recommendations on how delivery should be orientated across the Borough. </w:t>
      </w:r>
    </w:p>
    <w:p w14:paraId="4335D94E" w14:textId="12BBD6E2" w:rsidR="0000585B" w:rsidRDefault="00BF2780" w:rsidP="0000585B">
      <w:pPr>
        <w:pStyle w:val="RDParagraph"/>
      </w:pPr>
      <w:r w:rsidRPr="00594D79">
        <w:rPr>
          <w:lang w:val="en-US"/>
        </w:rPr>
        <w:t xml:space="preserve">However, </w:t>
      </w:r>
      <w:r w:rsidR="007324BF" w:rsidRPr="00594D79">
        <w:rPr>
          <w:lang w:val="en-US"/>
        </w:rPr>
        <w:t xml:space="preserve">fundamentally, focus should be placed on developing a </w:t>
      </w:r>
      <w:r w:rsidR="00411117" w:rsidRPr="00594D79">
        <w:rPr>
          <w:lang w:val="en-US"/>
        </w:rPr>
        <w:t>needs-based</w:t>
      </w:r>
      <w:r w:rsidR="007324BF" w:rsidRPr="00594D79">
        <w:rPr>
          <w:lang w:val="en-US"/>
        </w:rPr>
        <w:t xml:space="preserve"> delivery model which at its core </w:t>
      </w:r>
      <w:r w:rsidR="00245E47" w:rsidRPr="00594D79">
        <w:rPr>
          <w:lang w:val="en-US"/>
        </w:rPr>
        <w:t xml:space="preserve">sets an objective of </w:t>
      </w:r>
      <w:r w:rsidR="00004100" w:rsidRPr="00594D79">
        <w:rPr>
          <w:lang w:val="en-US"/>
        </w:rPr>
        <w:t xml:space="preserve">making it </w:t>
      </w:r>
      <w:r w:rsidR="0000585B" w:rsidRPr="00594D79">
        <w:t xml:space="preserve">as easy as possible for local people to </w:t>
      </w:r>
      <w:r w:rsidR="00004100" w:rsidRPr="00594D79">
        <w:t xml:space="preserve">access </w:t>
      </w:r>
      <w:r w:rsidR="0000585B" w:rsidRPr="00594D79">
        <w:t xml:space="preserve">jobs </w:t>
      </w:r>
      <w:r w:rsidR="00004100" w:rsidRPr="00594D79">
        <w:t>in the Royal Dock’s and as easy as possible for</w:t>
      </w:r>
      <w:r w:rsidR="0000585B" w:rsidRPr="00594D79">
        <w:t xml:space="preserve"> local </w:t>
      </w:r>
      <w:r w:rsidR="00004100" w:rsidRPr="00594D79">
        <w:t>businesses</w:t>
      </w:r>
      <w:r w:rsidR="0000585B" w:rsidRPr="00594D79">
        <w:t xml:space="preserve"> to employ them</w:t>
      </w:r>
      <w:r w:rsidR="00004100" w:rsidRPr="00594D79">
        <w:t>.</w:t>
      </w:r>
      <w:r w:rsidR="00181F08" w:rsidRPr="00594D79">
        <w:t xml:space="preserve"> While focus will need to continue to be placed on supporting those further from the labour market and with the most complex needs, </w:t>
      </w:r>
      <w:r w:rsidR="008B5526" w:rsidRPr="00594D79">
        <w:t xml:space="preserve">supporting residents to access </w:t>
      </w:r>
      <w:r w:rsidR="008B5526" w:rsidRPr="00E220A6">
        <w:t>higher skill</w:t>
      </w:r>
      <w:r w:rsidR="00594D79" w:rsidRPr="00E220A6">
        <w:t>ed</w:t>
      </w:r>
      <w:r w:rsidR="008B5526" w:rsidRPr="00594D79">
        <w:t xml:space="preserve"> employment opportunities and to progress in careers </w:t>
      </w:r>
      <w:r w:rsidR="008D03D7">
        <w:t>is an</w:t>
      </w:r>
      <w:r w:rsidR="008B5526" w:rsidRPr="00594D79">
        <w:t xml:space="preserve"> equally important</w:t>
      </w:r>
      <w:r w:rsidR="008D03D7">
        <w:t xml:space="preserve"> </w:t>
      </w:r>
      <w:r w:rsidR="00531AF2">
        <w:t xml:space="preserve">opportunity and </w:t>
      </w:r>
      <w:r w:rsidR="008D03D7">
        <w:t>challenge</w:t>
      </w:r>
      <w:r w:rsidR="008B5526" w:rsidRPr="00594D79">
        <w:t xml:space="preserve"> </w:t>
      </w:r>
      <w:r w:rsidR="00531AF2">
        <w:t xml:space="preserve">– particularly so in the context of the targeted growth and evolution of the local </w:t>
      </w:r>
      <w:r w:rsidR="00CB343D">
        <w:t xml:space="preserve">(and east London) </w:t>
      </w:r>
      <w:r w:rsidR="00531AF2">
        <w:t>economy</w:t>
      </w:r>
      <w:r w:rsidR="00CB343D">
        <w:t>.</w:t>
      </w:r>
    </w:p>
    <w:p w14:paraId="0A9631F1" w14:textId="7516CC0F" w:rsidR="00E078AB" w:rsidRPr="00594D79" w:rsidRDefault="00E078AB" w:rsidP="0000585B">
      <w:pPr>
        <w:pStyle w:val="RDParagraph"/>
      </w:pPr>
      <w:r>
        <w:t>Three main areas of delivery focus have been identified:</w:t>
      </w:r>
    </w:p>
    <w:p w14:paraId="658BABEB" w14:textId="43A2EDD4" w:rsidR="00E237F7" w:rsidRPr="0014673F" w:rsidRDefault="006276A0" w:rsidP="00B46B9D">
      <w:pPr>
        <w:pStyle w:val="RDBullet"/>
        <w:rPr>
          <w:lang w:val="en-US"/>
        </w:rPr>
      </w:pPr>
      <w:r>
        <w:t>Building the</w:t>
      </w:r>
      <w:r w:rsidR="00146FF8">
        <w:t xml:space="preserve"> </w:t>
      </w:r>
      <w:r w:rsidR="002259A1">
        <w:t>p</w:t>
      </w:r>
      <w:r w:rsidR="00146FF8">
        <w:t>ipeline (supply of</w:t>
      </w:r>
      <w:r w:rsidR="0099503D">
        <w:t xml:space="preserve"> jobs)</w:t>
      </w:r>
      <w:r w:rsidR="00E57F4A" w:rsidRPr="0014673F">
        <w:t xml:space="preserve">: </w:t>
      </w:r>
      <w:r w:rsidR="004476FA" w:rsidRPr="0014673F">
        <w:t xml:space="preserve">proactive work with current and future employers across the Royal Docks to </w:t>
      </w:r>
      <w:r w:rsidR="00107D44" w:rsidRPr="0014673F">
        <w:t xml:space="preserve">build collaboration and consistency in the </w:t>
      </w:r>
      <w:r w:rsidR="000D6807" w:rsidRPr="0014673F">
        <w:t xml:space="preserve">employment and training </w:t>
      </w:r>
      <w:r w:rsidR="00107D44" w:rsidRPr="0014673F">
        <w:t xml:space="preserve">‘offer’ to </w:t>
      </w:r>
      <w:r w:rsidR="000D6807" w:rsidRPr="0014673F">
        <w:t xml:space="preserve">local and Newham residents. </w:t>
      </w:r>
      <w:r w:rsidR="00E237F7" w:rsidRPr="0014673F">
        <w:t xml:space="preserve">Recruitment support provided via the reformed Newham Workplace should be recast as an incentive for businesses locating in the Royal Docks, providing access to a ‘work ready’ local workforce.  </w:t>
      </w:r>
      <w:r w:rsidR="00956CA2" w:rsidRPr="0014673F">
        <w:t>Action should focus both on existing employment ‘anchors’ and also the local small business community:</w:t>
      </w:r>
    </w:p>
    <w:p w14:paraId="22B272B3" w14:textId="41085B21" w:rsidR="00E57F4A" w:rsidRPr="00E57F4A" w:rsidRDefault="00E57F4A" w:rsidP="0099503D">
      <w:pPr>
        <w:pStyle w:val="RDBullet"/>
        <w:numPr>
          <w:ilvl w:val="1"/>
          <w:numId w:val="22"/>
        </w:numPr>
        <w:ind w:left="1397"/>
        <w:rPr>
          <w:lang w:val="en-US"/>
        </w:rPr>
      </w:pPr>
      <w:r>
        <w:t>Working with existing anchors and assets (e.g. Tate &amp; Lyle, City Airport, UEL and Excel) to develop an initial committed pipeline of employment, internship and work experience opportunities</w:t>
      </w:r>
      <w:r w:rsidR="00583A95" w:rsidRPr="00583A95">
        <w:t xml:space="preserve"> </w:t>
      </w:r>
      <w:r w:rsidR="00583A95">
        <w:t xml:space="preserve">and to embed the </w:t>
      </w:r>
      <w:r w:rsidR="00583A95" w:rsidRPr="00D833EB">
        <w:t xml:space="preserve">role </w:t>
      </w:r>
      <w:r w:rsidR="00583A95">
        <w:t>they play in providing leadership from an employment and skills perspe</w:t>
      </w:r>
      <w:r w:rsidR="003009DE">
        <w:t>ctive</w:t>
      </w:r>
      <w:r w:rsidR="00502C32">
        <w:t xml:space="preserve">. </w:t>
      </w:r>
      <w:r w:rsidR="0014673F">
        <w:t>E</w:t>
      </w:r>
      <w:r w:rsidR="00502C32">
        <w:t xml:space="preserve">mployers forums and </w:t>
      </w:r>
      <w:r w:rsidR="0014673F">
        <w:t>employment ‘</w:t>
      </w:r>
      <w:r w:rsidR="00502C32">
        <w:t>ambassador</w:t>
      </w:r>
      <w:r w:rsidR="0014673F">
        <w:t>s’ could help drive consistency</w:t>
      </w:r>
      <w:r w:rsidR="00502C32">
        <w:t xml:space="preserve"> </w:t>
      </w:r>
      <w:r w:rsidR="0014673F">
        <w:t>and enhance visibility</w:t>
      </w:r>
    </w:p>
    <w:p w14:paraId="32E70855" w14:textId="3E7366F5" w:rsidR="00E57F4A" w:rsidRPr="006844A5" w:rsidRDefault="00E57F4A" w:rsidP="0099503D">
      <w:pPr>
        <w:pStyle w:val="RDBullet"/>
        <w:numPr>
          <w:ilvl w:val="1"/>
          <w:numId w:val="22"/>
        </w:numPr>
        <w:ind w:left="1397"/>
        <w:rPr>
          <w:lang w:val="en-US"/>
        </w:rPr>
      </w:pPr>
      <w:r>
        <w:t xml:space="preserve">Working with </w:t>
      </w:r>
      <w:r w:rsidR="004B54C8">
        <w:t xml:space="preserve">smaller businesses (where relevant via </w:t>
      </w:r>
      <w:r>
        <w:t>business space providers</w:t>
      </w:r>
      <w:r w:rsidR="00E237F7">
        <w:t>)</w:t>
      </w:r>
      <w:r>
        <w:t xml:space="preserve"> to develop the foundations for shared apprenticeship and internship models</w:t>
      </w:r>
      <w:r w:rsidR="004B54C8">
        <w:t>.</w:t>
      </w:r>
    </w:p>
    <w:p w14:paraId="6C419639" w14:textId="5BD7365E" w:rsidR="006844A5" w:rsidRPr="00E57F4A" w:rsidRDefault="006844A5" w:rsidP="0099503D">
      <w:pPr>
        <w:pStyle w:val="RDBullet"/>
        <w:numPr>
          <w:ilvl w:val="1"/>
          <w:numId w:val="22"/>
        </w:numPr>
        <w:ind w:left="1397"/>
        <w:rPr>
          <w:lang w:val="en-US"/>
        </w:rPr>
      </w:pPr>
      <w:r>
        <w:t>Influencing the evolving practices of developers and landowners to ensure that their projects support the objectives of this plan. Support developers to understand and communicate the b</w:t>
      </w:r>
      <w:r w:rsidR="000D63E9">
        <w:t>usiness benefits of local recruitment and the programme emerging from the Workplace review.</w:t>
      </w:r>
    </w:p>
    <w:p w14:paraId="4F1ACAB6" w14:textId="5DA124D0" w:rsidR="001C6415" w:rsidRPr="004018D8" w:rsidRDefault="00A35B2B" w:rsidP="00B46B9D">
      <w:pPr>
        <w:pStyle w:val="RDBullet"/>
        <w:rPr>
          <w:lang w:val="en-US"/>
        </w:rPr>
      </w:pPr>
      <w:r>
        <w:t>Readying the workforce</w:t>
      </w:r>
      <w:r w:rsidR="00E57F4A" w:rsidRPr="004018D8">
        <w:t xml:space="preserve">:  </w:t>
      </w:r>
      <w:r w:rsidR="00643B96" w:rsidRPr="004018D8">
        <w:t>action to respond to the varied needs of local residents</w:t>
      </w:r>
      <w:r w:rsidR="00CF78C7" w:rsidRPr="004018D8">
        <w:t>:</w:t>
      </w:r>
      <w:r w:rsidR="00643B96" w:rsidRPr="004018D8">
        <w:t xml:space="preserve"> particularly young people, </w:t>
      </w:r>
      <w:r w:rsidR="00E57F4A" w:rsidRPr="004018D8">
        <w:t>graduates</w:t>
      </w:r>
      <w:r w:rsidR="00643B96" w:rsidRPr="004018D8">
        <w:t xml:space="preserve"> and those furthest from the labour market</w:t>
      </w:r>
      <w:r w:rsidR="00CF78C7" w:rsidRPr="004018D8">
        <w:t xml:space="preserve">. This </w:t>
      </w:r>
      <w:r w:rsidR="004914E2" w:rsidRPr="004018D8">
        <w:t>should include s</w:t>
      </w:r>
      <w:r w:rsidR="001C6415" w:rsidRPr="004018D8">
        <w:t>coping and developing a more positive and engaging approach to young people’s careers, giving young people ownership in the development of the service</w:t>
      </w:r>
      <w:r w:rsidR="004914E2" w:rsidRPr="004018D8">
        <w:t>, and s</w:t>
      </w:r>
      <w:r w:rsidR="001C6415" w:rsidRPr="004018D8">
        <w:t>cop</w:t>
      </w:r>
      <w:r w:rsidR="004914E2" w:rsidRPr="004018D8">
        <w:t>ing</w:t>
      </w:r>
      <w:r w:rsidR="001C6415" w:rsidRPr="004018D8">
        <w:t xml:space="preserve"> the development of higher-level apprenticeships linked to the specialisms in UEL (Built Environment, Engineering, Accounting and Business Management)</w:t>
      </w:r>
      <w:r w:rsidR="004914E2" w:rsidRPr="004018D8">
        <w:t xml:space="preserve"> and emerging </w:t>
      </w:r>
      <w:r w:rsidR="003A74C0" w:rsidRPr="004018D8">
        <w:t xml:space="preserve">sector specialisms in the local economy. UEL, Newham College, local schools will all act as key partners in developing a </w:t>
      </w:r>
      <w:r w:rsidR="004018D8" w:rsidRPr="004018D8">
        <w:t>consistent offer which is adaptable to changing needs over time.</w:t>
      </w:r>
    </w:p>
    <w:p w14:paraId="0D4A020C" w14:textId="49B6825A" w:rsidR="0046554F" w:rsidRPr="0016469E" w:rsidRDefault="00E57F4A" w:rsidP="00B46B9D">
      <w:pPr>
        <w:pStyle w:val="RDBullet"/>
      </w:pPr>
      <w:r w:rsidRPr="004018D8">
        <w:t>Connecti</w:t>
      </w:r>
      <w:r w:rsidR="00A35B2B">
        <w:t>ng communities</w:t>
      </w:r>
      <w:r w:rsidRPr="004018D8">
        <w:t xml:space="preserve">: </w:t>
      </w:r>
      <w:r w:rsidR="00740732" w:rsidRPr="004018D8">
        <w:t>d</w:t>
      </w:r>
      <w:r w:rsidRPr="004018D8">
        <w:t>evelop</w:t>
      </w:r>
      <w:r w:rsidR="00740732" w:rsidRPr="004018D8">
        <w:t>ing</w:t>
      </w:r>
      <w:r w:rsidRPr="004018D8">
        <w:t xml:space="preserve"> proposals to address issues of physical connectivity </w:t>
      </w:r>
      <w:r w:rsidR="00740732" w:rsidRPr="004018D8">
        <w:t>which may act as barriers for residents accessing opportunities in</w:t>
      </w:r>
      <w:r w:rsidRPr="004018D8">
        <w:t xml:space="preserve"> the Royal Docks.</w:t>
      </w:r>
      <w:r w:rsidR="00740732" w:rsidRPr="004018D8">
        <w:t xml:space="preserve"> This could involve n</w:t>
      </w:r>
      <w:r w:rsidR="0046554F" w:rsidRPr="004018D8">
        <w:t>ew models of community transport to support local residents and workers to get to the Royal Docks and move around within the Docks themselves</w:t>
      </w:r>
      <w:r w:rsidR="00740732" w:rsidRPr="004018D8">
        <w:t>.</w:t>
      </w:r>
    </w:p>
    <w:p w14:paraId="3006B74D" w14:textId="3F54AFD7" w:rsidR="00B46B9D" w:rsidRDefault="00092A48" w:rsidP="00B46B9D">
      <w:pPr>
        <w:pStyle w:val="RDParagraph"/>
      </w:pPr>
      <w:r>
        <w:t>Specific a</w:t>
      </w:r>
      <w:r w:rsidR="0016469E" w:rsidRPr="00B46B9D">
        <w:t xml:space="preserve">reas for </w:t>
      </w:r>
      <w:r w:rsidR="00B46B9D">
        <w:t xml:space="preserve">initial delivery </w:t>
      </w:r>
      <w:r>
        <w:t>linked to the above three themes are:</w:t>
      </w:r>
    </w:p>
    <w:p w14:paraId="278A68DA" w14:textId="314677DE" w:rsidR="00B46B9D" w:rsidRPr="00092A48" w:rsidRDefault="00092A48" w:rsidP="00185A28">
      <w:pPr>
        <w:pStyle w:val="RDnumber"/>
        <w:numPr>
          <w:ilvl w:val="0"/>
          <w:numId w:val="41"/>
        </w:numPr>
        <w:rPr>
          <w:b w:val="0"/>
        </w:rPr>
      </w:pPr>
      <w:r w:rsidRPr="00092A48">
        <w:rPr>
          <w:b w:val="0"/>
        </w:rPr>
        <w:t>I</w:t>
      </w:r>
      <w:r w:rsidR="00B46B9D" w:rsidRPr="00092A48">
        <w:rPr>
          <w:b w:val="0"/>
        </w:rPr>
        <w:t>nitial staff resource to support ongoing dialogue and coordination with employers and intermediaries (for SMEs)</w:t>
      </w:r>
    </w:p>
    <w:p w14:paraId="03E54206" w14:textId="2D7B26DC" w:rsidR="00B46B9D" w:rsidRPr="00092A48" w:rsidRDefault="00B46B9D" w:rsidP="00185A28">
      <w:pPr>
        <w:pStyle w:val="RDnumber"/>
        <w:numPr>
          <w:ilvl w:val="0"/>
          <w:numId w:val="41"/>
        </w:numPr>
        <w:rPr>
          <w:b w:val="0"/>
        </w:rPr>
      </w:pPr>
      <w:r w:rsidRPr="00092A48">
        <w:rPr>
          <w:b w:val="0"/>
        </w:rPr>
        <w:t xml:space="preserve">Development of </w:t>
      </w:r>
      <w:r w:rsidR="00E668FF">
        <w:rPr>
          <w:b w:val="0"/>
        </w:rPr>
        <w:t>a</w:t>
      </w:r>
      <w:r w:rsidR="006C551B">
        <w:rPr>
          <w:b w:val="0"/>
        </w:rPr>
        <w:t xml:space="preserve"> bespoke Royal Docks</w:t>
      </w:r>
      <w:r w:rsidR="00E668FF">
        <w:rPr>
          <w:b w:val="0"/>
        </w:rPr>
        <w:t xml:space="preserve"> </w:t>
      </w:r>
      <w:r w:rsidRPr="00092A48">
        <w:rPr>
          <w:b w:val="0"/>
        </w:rPr>
        <w:t>internship and special apprenticeship pilot</w:t>
      </w:r>
    </w:p>
    <w:p w14:paraId="0D2296F5" w14:textId="18443CDE" w:rsidR="00B46B9D" w:rsidRDefault="00B46B9D" w:rsidP="00185A28">
      <w:pPr>
        <w:pStyle w:val="RDnumber"/>
        <w:numPr>
          <w:ilvl w:val="0"/>
          <w:numId w:val="41"/>
        </w:numPr>
        <w:rPr>
          <w:b w:val="0"/>
        </w:rPr>
      </w:pPr>
      <w:r w:rsidRPr="00092A48">
        <w:rPr>
          <w:b w:val="0"/>
        </w:rPr>
        <w:t>Careers engagement with schools and initial programme development</w:t>
      </w:r>
    </w:p>
    <w:p w14:paraId="460EFD59" w14:textId="29878C05" w:rsidR="00E668FF" w:rsidRPr="00092A48" w:rsidRDefault="00E668FF" w:rsidP="00185A28">
      <w:pPr>
        <w:pStyle w:val="RDnumber"/>
        <w:numPr>
          <w:ilvl w:val="0"/>
          <w:numId w:val="41"/>
        </w:numPr>
        <w:rPr>
          <w:b w:val="0"/>
        </w:rPr>
      </w:pPr>
      <w:r w:rsidRPr="00E668FF">
        <w:rPr>
          <w:b w:val="0"/>
        </w:rPr>
        <w:t xml:space="preserve">Piloting new outreach into existing Royal Docks </w:t>
      </w:r>
      <w:r w:rsidR="0040788F" w:rsidRPr="00E668FF">
        <w:rPr>
          <w:b w:val="0"/>
        </w:rPr>
        <w:t>neighbourhoods</w:t>
      </w:r>
      <w:r w:rsidRPr="00E668FF">
        <w:rPr>
          <w:b w:val="0"/>
        </w:rPr>
        <w:t>, testing new approaches to measuring the broader impact of</w:t>
      </w:r>
      <w:r>
        <w:rPr>
          <w:b w:val="0"/>
        </w:rPr>
        <w:t xml:space="preserve"> the reformed </w:t>
      </w:r>
      <w:r w:rsidRPr="00E668FF">
        <w:rPr>
          <w:b w:val="0"/>
        </w:rPr>
        <w:t xml:space="preserve">Workplace.  </w:t>
      </w:r>
    </w:p>
    <w:p w14:paraId="25792293" w14:textId="77777777" w:rsidR="002C42A9" w:rsidRDefault="002C42A9" w:rsidP="000B55BE">
      <w:pPr>
        <w:pStyle w:val="RDTier3"/>
      </w:pPr>
      <w:r>
        <w:t>Outcomes: Contributions to Economic Purpose and Success Measures</w:t>
      </w:r>
    </w:p>
    <w:p w14:paraId="6DA95536" w14:textId="75D8AAB3" w:rsidR="00C437AC" w:rsidRDefault="00F10081" w:rsidP="00C437AC">
      <w:pPr>
        <w:pStyle w:val="RDParagraph"/>
        <w:rPr>
          <w:lang w:val="en-US"/>
        </w:rPr>
      </w:pPr>
      <w:r>
        <w:rPr>
          <w:lang w:val="en-US"/>
        </w:rPr>
        <w:t xml:space="preserve">Employment and Skills </w:t>
      </w:r>
      <w:r w:rsidR="002C3219">
        <w:rPr>
          <w:lang w:val="en-US"/>
        </w:rPr>
        <w:t>actions and investment</w:t>
      </w:r>
      <w:r w:rsidR="00C437AC">
        <w:rPr>
          <w:lang w:val="en-US"/>
        </w:rPr>
        <w:t xml:space="preserve"> will directly </w:t>
      </w:r>
      <w:r w:rsidR="002C3219">
        <w:rPr>
          <w:lang w:val="en-US"/>
        </w:rPr>
        <w:t xml:space="preserve">deliver against the </w:t>
      </w:r>
      <w:r w:rsidR="00F608C0">
        <w:rPr>
          <w:lang w:val="en-US"/>
        </w:rPr>
        <w:t xml:space="preserve">socially focused objectives of the Economic Purpose, in particular </w:t>
      </w:r>
      <w:r w:rsidR="008B14D7">
        <w:rPr>
          <w:lang w:val="en-US"/>
        </w:rPr>
        <w:t xml:space="preserve">ensuring that the Royal Dock’s maximises its role as a social and economic resource for local residents. It provides </w:t>
      </w:r>
      <w:r w:rsidR="00DA0AA6">
        <w:rPr>
          <w:lang w:val="en-US"/>
        </w:rPr>
        <w:t>a</w:t>
      </w:r>
      <w:r w:rsidR="008B14D7">
        <w:rPr>
          <w:lang w:val="en-US"/>
        </w:rPr>
        <w:t xml:space="preserve"> direct link to </w:t>
      </w:r>
      <w:r w:rsidR="00C437AC">
        <w:rPr>
          <w:lang w:val="en-US"/>
        </w:rPr>
        <w:t xml:space="preserve">Newham’s community wealth building objectives: </w:t>
      </w:r>
      <w:r w:rsidR="008B14D7">
        <w:rPr>
          <w:lang w:val="en-US"/>
        </w:rPr>
        <w:t>connecting</w:t>
      </w:r>
      <w:r w:rsidR="00C437AC">
        <w:rPr>
          <w:lang w:val="en-US"/>
        </w:rPr>
        <w:t xml:space="preserve"> local residents to jobs, tailoring local education and training to responding to emerging demand, and helping to build and enhance career progression.</w:t>
      </w:r>
    </w:p>
    <w:p w14:paraId="1436E916" w14:textId="21DB309B" w:rsidR="00C437AC" w:rsidRDefault="00C437AC" w:rsidP="00C437AC">
      <w:pPr>
        <w:pStyle w:val="RDParagraph"/>
        <w:rPr>
          <w:lang w:val="en-US"/>
        </w:rPr>
      </w:pPr>
      <w:r>
        <w:rPr>
          <w:lang w:val="en-US"/>
        </w:rPr>
        <w:t>Success will ultimately be measured in terms of the number and diversity of local residents accessing employment within the Royal Docks; the number and diversity of residents with improved skills and experience; overall levels of economic activity and employment across different communities; and, ultimately, comparative levels of prosperity and participation.</w:t>
      </w:r>
    </w:p>
    <w:p w14:paraId="5B979ADB" w14:textId="24333646" w:rsidR="006871CE" w:rsidRDefault="0000585B" w:rsidP="006871CE">
      <w:pPr>
        <w:pStyle w:val="RDTier3"/>
        <w:rPr>
          <w:lang w:val="en-US"/>
        </w:rPr>
      </w:pPr>
      <w:r>
        <w:rPr>
          <w:lang w:val="en-US"/>
        </w:rPr>
        <w:t>Immediate Actions</w:t>
      </w:r>
    </w:p>
    <w:p w14:paraId="621CB6B9" w14:textId="17418E3D" w:rsidR="006871CE" w:rsidRDefault="006871CE" w:rsidP="006871CE">
      <w:pPr>
        <w:pStyle w:val="RDBullet"/>
        <w:rPr>
          <w:lang w:val="en-US"/>
        </w:rPr>
      </w:pPr>
      <w:r>
        <w:rPr>
          <w:lang w:val="en-US"/>
        </w:rPr>
        <w:t>Agree</w:t>
      </w:r>
      <w:r w:rsidR="004B4F3A">
        <w:rPr>
          <w:lang w:val="en-US"/>
        </w:rPr>
        <w:t>ing the</w:t>
      </w:r>
      <w:r>
        <w:rPr>
          <w:lang w:val="en-US"/>
        </w:rPr>
        <w:t xml:space="preserve"> proposed </w:t>
      </w:r>
      <w:r w:rsidR="004B4F3A">
        <w:rPr>
          <w:lang w:val="en-US"/>
        </w:rPr>
        <w:t xml:space="preserve">increase in the size of </w:t>
      </w:r>
      <w:r w:rsidR="000C7F72">
        <w:rPr>
          <w:lang w:val="en-US"/>
        </w:rPr>
        <w:t>the funding allocation</w:t>
      </w:r>
    </w:p>
    <w:p w14:paraId="0C9C84AB" w14:textId="7A868C4B" w:rsidR="001B746D" w:rsidRDefault="001B746D" w:rsidP="006871CE">
      <w:pPr>
        <w:pStyle w:val="RDBullet"/>
        <w:rPr>
          <w:lang w:val="en-US"/>
        </w:rPr>
      </w:pPr>
      <w:r>
        <w:rPr>
          <w:lang w:val="en-US"/>
        </w:rPr>
        <w:t xml:space="preserve">Appointing the </w:t>
      </w:r>
      <w:r w:rsidR="006D3D0E">
        <w:rPr>
          <w:lang w:val="en-US"/>
        </w:rPr>
        <w:t>employment and skills coordinator</w:t>
      </w:r>
    </w:p>
    <w:p w14:paraId="029AB805" w14:textId="01C56411" w:rsidR="006871CE" w:rsidRDefault="000C7F72" w:rsidP="006871CE">
      <w:pPr>
        <w:pStyle w:val="RDBullet"/>
        <w:rPr>
          <w:lang w:val="en-US"/>
        </w:rPr>
      </w:pPr>
      <w:r>
        <w:rPr>
          <w:lang w:val="en-US"/>
        </w:rPr>
        <w:t>Adapting</w:t>
      </w:r>
      <w:r w:rsidR="006871CE">
        <w:rPr>
          <w:lang w:val="en-US"/>
        </w:rPr>
        <w:t xml:space="preserve"> to the findings of</w:t>
      </w:r>
      <w:r w:rsidR="004B4F3A">
        <w:rPr>
          <w:lang w:val="en-US"/>
        </w:rPr>
        <w:t xml:space="preserve"> Newham</w:t>
      </w:r>
      <w:r w:rsidR="006871CE">
        <w:rPr>
          <w:lang w:val="en-US"/>
        </w:rPr>
        <w:t xml:space="preserve"> Workplace review</w:t>
      </w:r>
      <w:r w:rsidR="00EA0249">
        <w:rPr>
          <w:lang w:val="en-US"/>
        </w:rPr>
        <w:t>, and based on this, developing a clear action plan for the allocation of resource</w:t>
      </w:r>
    </w:p>
    <w:p w14:paraId="0CA1E531" w14:textId="6481DC3C" w:rsidR="00EA0249" w:rsidRPr="006D3D0E" w:rsidRDefault="000C7F72" w:rsidP="004018D8">
      <w:pPr>
        <w:pStyle w:val="RDBullet"/>
        <w:rPr>
          <w:i/>
          <w:lang w:val="en-US"/>
        </w:rPr>
      </w:pPr>
      <w:r w:rsidRPr="004018D8">
        <w:rPr>
          <w:lang w:val="en-US"/>
        </w:rPr>
        <w:t>Initial work to e</w:t>
      </w:r>
      <w:r w:rsidR="006871CE" w:rsidRPr="004018D8">
        <w:rPr>
          <w:lang w:val="en-US"/>
        </w:rPr>
        <w:t xml:space="preserve">ngage larger employers and workspace providers in scooping </w:t>
      </w:r>
      <w:r w:rsidR="00EA0249" w:rsidRPr="004018D8">
        <w:rPr>
          <w:lang w:val="en-US"/>
        </w:rPr>
        <w:t>the future employment and skills</w:t>
      </w:r>
      <w:r w:rsidR="006871CE" w:rsidRPr="004018D8">
        <w:rPr>
          <w:lang w:val="en-US"/>
        </w:rPr>
        <w:t xml:space="preserve"> offer</w:t>
      </w:r>
    </w:p>
    <w:p w14:paraId="1342BC90" w14:textId="5392F43B" w:rsidR="006D3D0E" w:rsidRPr="0005207F" w:rsidRDefault="006D3D0E" w:rsidP="004018D8">
      <w:pPr>
        <w:pStyle w:val="RDBullet"/>
        <w:rPr>
          <w:i/>
          <w:lang w:val="en-US"/>
        </w:rPr>
      </w:pPr>
      <w:r>
        <w:rPr>
          <w:lang w:val="en-US"/>
        </w:rPr>
        <w:t xml:space="preserve">Developing the </w:t>
      </w:r>
      <w:r w:rsidR="0005207F">
        <w:rPr>
          <w:lang w:val="en-US"/>
        </w:rPr>
        <w:t>apprenticeship and internship programme</w:t>
      </w:r>
    </w:p>
    <w:p w14:paraId="60BD7418" w14:textId="4C04B5F7" w:rsidR="00166D0F" w:rsidRPr="0005207F" w:rsidRDefault="0005207F" w:rsidP="00FF1CAF">
      <w:pPr>
        <w:pStyle w:val="RDBullet"/>
        <w:rPr>
          <w:i/>
          <w:lang w:val="en-US"/>
        </w:rPr>
      </w:pPr>
      <w:r w:rsidRPr="0005207F">
        <w:rPr>
          <w:lang w:val="en-US"/>
        </w:rPr>
        <w:t>Laying the foundations for engagement with schools and community outreach in year 2 and beyond.</w:t>
      </w:r>
    </w:p>
    <w:p w14:paraId="072D2418" w14:textId="1815E8DA" w:rsidR="00412111" w:rsidRPr="00595D2C" w:rsidRDefault="0099503D" w:rsidP="00412111">
      <w:pPr>
        <w:pStyle w:val="RDTier2"/>
        <w:ind w:left="0" w:firstLine="680"/>
        <w:rPr>
          <w:i/>
          <w:sz w:val="22"/>
          <w:lang w:val="en-US"/>
        </w:rPr>
      </w:pPr>
      <w:r>
        <w:rPr>
          <w:i/>
          <w:sz w:val="22"/>
          <w:lang w:val="en-US"/>
        </w:rPr>
        <w:br w:type="page"/>
      </w:r>
      <w:r w:rsidR="00412111" w:rsidRPr="00595D2C">
        <w:rPr>
          <w:i/>
          <w:sz w:val="22"/>
          <w:lang w:val="en-US"/>
        </w:rPr>
        <w:t>Table 4.</w:t>
      </w:r>
      <w:r w:rsidR="007C75E2">
        <w:rPr>
          <w:i/>
          <w:sz w:val="22"/>
          <w:lang w:val="en-US"/>
        </w:rPr>
        <w:t>3</w:t>
      </w:r>
      <w:r w:rsidR="00412111" w:rsidRPr="00595D2C">
        <w:rPr>
          <w:i/>
          <w:sz w:val="22"/>
          <w:lang w:val="en-US"/>
        </w:rPr>
        <w:t xml:space="preserve">: </w:t>
      </w:r>
      <w:r w:rsidR="007C75E2">
        <w:rPr>
          <w:i/>
          <w:sz w:val="22"/>
          <w:lang w:val="en-US"/>
        </w:rPr>
        <w:t>Realising Talent</w:t>
      </w:r>
      <w:r w:rsidR="00412111">
        <w:rPr>
          <w:i/>
          <w:sz w:val="22"/>
          <w:lang w:val="en-US"/>
        </w:rPr>
        <w:t>: Inspiration and Precedents</w:t>
      </w:r>
    </w:p>
    <w:tbl>
      <w:tblPr>
        <w:tblW w:w="8338" w:type="dxa"/>
        <w:tblInd w:w="709" w:type="dxa"/>
        <w:tblLayout w:type="fixed"/>
        <w:tblCellMar>
          <w:left w:w="0" w:type="dxa"/>
          <w:right w:w="0" w:type="dxa"/>
        </w:tblCellMar>
        <w:tblLook w:val="0420" w:firstRow="1" w:lastRow="0" w:firstColumn="0" w:lastColumn="0" w:noHBand="0" w:noVBand="1"/>
      </w:tblPr>
      <w:tblGrid>
        <w:gridCol w:w="1900"/>
        <w:gridCol w:w="6438"/>
      </w:tblGrid>
      <w:tr w:rsidR="00412111" w:rsidRPr="00F72A73" w14:paraId="204DEB75" w14:textId="77777777" w:rsidTr="00FA3139">
        <w:trPr>
          <w:trHeight w:val="243"/>
        </w:trPr>
        <w:tc>
          <w:tcPr>
            <w:tcW w:w="1900" w:type="dxa"/>
            <w:tcBorders>
              <w:top w:val="single" w:sz="18" w:space="0" w:color="08445E" w:themeColor="accent2"/>
              <w:left w:val="nil"/>
              <w:bottom w:val="single" w:sz="18" w:space="0" w:color="08445E" w:themeColor="accent2"/>
              <w:right w:val="nil"/>
            </w:tcBorders>
            <w:shd w:val="clear" w:color="auto" w:fill="E9E9EA"/>
            <w:tcMar>
              <w:top w:w="72" w:type="dxa"/>
              <w:left w:w="144" w:type="dxa"/>
              <w:bottom w:w="72" w:type="dxa"/>
              <w:right w:w="144" w:type="dxa"/>
            </w:tcMar>
            <w:vAlign w:val="center"/>
          </w:tcPr>
          <w:p w14:paraId="69CE727A" w14:textId="77777777" w:rsidR="00412111" w:rsidRPr="00F72A73" w:rsidRDefault="00412111" w:rsidP="00FA3139">
            <w:pPr>
              <w:pStyle w:val="TableTitleInTable"/>
              <w:jc w:val="center"/>
            </w:pPr>
            <w:r w:rsidRPr="004E2E89">
              <w:rPr>
                <w:color w:val="FF5000" w:themeColor="accent6"/>
              </w:rPr>
              <w:t>Example</w:t>
            </w:r>
          </w:p>
        </w:tc>
        <w:tc>
          <w:tcPr>
            <w:tcW w:w="6438" w:type="dxa"/>
            <w:tcBorders>
              <w:top w:val="single" w:sz="18" w:space="0" w:color="08445E" w:themeColor="accent2"/>
              <w:left w:val="nil"/>
              <w:bottom w:val="single" w:sz="18" w:space="0" w:color="08445E" w:themeColor="accent2"/>
              <w:right w:val="nil"/>
            </w:tcBorders>
            <w:shd w:val="clear" w:color="auto" w:fill="E9E9EA"/>
          </w:tcPr>
          <w:p w14:paraId="300A9048" w14:textId="77777777" w:rsidR="00412111" w:rsidRPr="00132E00" w:rsidRDefault="00412111" w:rsidP="00FA3139">
            <w:pPr>
              <w:pStyle w:val="TableTitleInTable"/>
              <w:jc w:val="center"/>
              <w:rPr>
                <w:color w:val="FF5000" w:themeColor="accent6"/>
              </w:rPr>
            </w:pPr>
            <w:r>
              <w:rPr>
                <w:color w:val="FF5000" w:themeColor="accent6"/>
              </w:rPr>
              <w:t>Summary and Relevance</w:t>
            </w:r>
          </w:p>
        </w:tc>
      </w:tr>
      <w:tr w:rsidR="00412111" w:rsidRPr="00F72A73" w14:paraId="75838076" w14:textId="77777777" w:rsidTr="00FA3139">
        <w:trPr>
          <w:trHeight w:val="243"/>
        </w:trPr>
        <w:tc>
          <w:tcPr>
            <w:tcW w:w="1900" w:type="dxa"/>
            <w:tcBorders>
              <w:top w:val="single" w:sz="18" w:space="0" w:color="08445E" w:themeColor="accent2"/>
              <w:left w:val="nil"/>
              <w:bottom w:val="single" w:sz="8" w:space="0" w:color="FF5000" w:themeColor="accent6"/>
              <w:right w:val="nil"/>
            </w:tcBorders>
            <w:shd w:val="clear" w:color="auto" w:fill="E9E9EA"/>
            <w:tcMar>
              <w:top w:w="72" w:type="dxa"/>
              <w:left w:w="144" w:type="dxa"/>
              <w:bottom w:w="72" w:type="dxa"/>
              <w:right w:w="144" w:type="dxa"/>
            </w:tcMar>
            <w:vAlign w:val="center"/>
          </w:tcPr>
          <w:p w14:paraId="684E9E0D" w14:textId="77777777" w:rsidR="00412111" w:rsidRPr="00004521" w:rsidRDefault="00412111" w:rsidP="00FA3139">
            <w:pPr>
              <w:pStyle w:val="TableTitleInTable"/>
              <w:rPr>
                <w:rFonts w:ascii="Source Sans Pro" w:eastAsia="Yu Gothic UI" w:hAnsi="Source Sans Pro"/>
                <w:b/>
                <w:bCs/>
                <w:color w:val="052D3F" w:themeColor="accent1"/>
                <w:szCs w:val="44"/>
                <w:lang w:val="en-US"/>
              </w:rPr>
            </w:pPr>
            <w:r w:rsidRPr="00F17D61">
              <w:rPr>
                <w:rFonts w:ascii="Source Sans Pro" w:eastAsia="Yu Gothic UI" w:hAnsi="Source Sans Pro"/>
                <w:b/>
                <w:bCs/>
                <w:color w:val="052D3F" w:themeColor="accent1"/>
                <w:szCs w:val="44"/>
              </w:rPr>
              <w:t>Eric Fest</w:t>
            </w:r>
            <w:r>
              <w:rPr>
                <w:rFonts w:ascii="Source Sans Pro" w:eastAsia="Yu Gothic UI" w:hAnsi="Source Sans Pro"/>
                <w:bCs/>
                <w:color w:val="052D3F"/>
                <w:szCs w:val="44"/>
                <w:lang w:val="en-US"/>
              </w:rPr>
              <w:t xml:space="preserve"> Careers for young people</w:t>
            </w:r>
          </w:p>
        </w:tc>
        <w:tc>
          <w:tcPr>
            <w:tcW w:w="6438" w:type="dxa"/>
            <w:tcBorders>
              <w:top w:val="single" w:sz="18" w:space="0" w:color="08445E" w:themeColor="accent2"/>
              <w:left w:val="nil"/>
              <w:bottom w:val="single" w:sz="8" w:space="0" w:color="FF5000" w:themeColor="accent6"/>
              <w:right w:val="nil"/>
            </w:tcBorders>
            <w:shd w:val="clear" w:color="auto" w:fill="E9E9EA"/>
            <w:vAlign w:val="center"/>
          </w:tcPr>
          <w:p w14:paraId="2B123B8E" w14:textId="77777777" w:rsidR="00412111" w:rsidRPr="00004521" w:rsidRDefault="00412111" w:rsidP="00FA3139">
            <w:pPr>
              <w:pStyle w:val="TableTitleInTable"/>
              <w:jc w:val="both"/>
              <w:rPr>
                <w:rFonts w:ascii="Source Sans Pro" w:eastAsia="Yu Gothic UI" w:hAnsi="Source Sans Pro"/>
                <w:bCs/>
                <w:color w:val="052D3F"/>
                <w:szCs w:val="44"/>
              </w:rPr>
            </w:pPr>
            <w:r w:rsidRPr="004E2E89">
              <w:rPr>
                <w:rFonts w:ascii="Source Sans Pro" w:eastAsia="Yu Gothic UI" w:hAnsi="Source Sans Pro"/>
                <w:bCs/>
                <w:noProof/>
                <w:color w:val="052D3F"/>
                <w:szCs w:val="44"/>
              </w:rPr>
              <w:drawing>
                <wp:anchor distT="0" distB="0" distL="114300" distR="114300" simplePos="0" relativeHeight="251658248" behindDoc="0" locked="0" layoutInCell="1" allowOverlap="1" wp14:anchorId="3BC61809" wp14:editId="3994EC62">
                  <wp:simplePos x="0" y="0"/>
                  <wp:positionH relativeFrom="column">
                    <wp:posOffset>2131695</wp:posOffset>
                  </wp:positionH>
                  <wp:positionV relativeFrom="paragraph">
                    <wp:posOffset>161290</wp:posOffset>
                  </wp:positionV>
                  <wp:extent cx="1842135" cy="1242695"/>
                  <wp:effectExtent l="0" t="0" r="5715" b="0"/>
                  <wp:wrapSquare wrapText="bothSides"/>
                  <wp:docPr id="203" name="Picture 10">
                    <a:extLst xmlns:a="http://schemas.openxmlformats.org/drawingml/2006/main">
                      <a:ext uri="{FF2B5EF4-FFF2-40B4-BE49-F238E27FC236}">
                        <a16:creationId xmlns:a16="http://schemas.microsoft.com/office/drawing/2014/main" id="{30A7AFD1-7155-4366-B017-0A34DA173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0A7AFD1-7155-4366-B017-0A34DA17336E}"/>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49461" t="460" r="1952" b="5468"/>
                          <a:stretch/>
                        </pic:blipFill>
                        <pic:spPr>
                          <a:xfrm>
                            <a:off x="0" y="0"/>
                            <a:ext cx="1842135" cy="1242695"/>
                          </a:xfrm>
                          <a:prstGeom prst="rect">
                            <a:avLst/>
                          </a:prstGeom>
                        </pic:spPr>
                      </pic:pic>
                    </a:graphicData>
                  </a:graphic>
                  <wp14:sizeRelH relativeFrom="page">
                    <wp14:pctWidth>0</wp14:pctWidth>
                  </wp14:sizeRelH>
                  <wp14:sizeRelV relativeFrom="page">
                    <wp14:pctHeight>0</wp14:pctHeight>
                  </wp14:sizeRelV>
                </wp:anchor>
              </w:drawing>
            </w:r>
            <w:r w:rsidRPr="0006591F">
              <w:rPr>
                <w:rFonts w:ascii="Source Sans Pro" w:eastAsia="Yu Gothic UI" w:hAnsi="Source Sans Pro"/>
                <w:bCs/>
                <w:color w:val="052D3F"/>
                <w:szCs w:val="44"/>
              </w:rPr>
              <w:t>Alternative careers fair; jointly curated with young people; focus on experience and positivity around careers. Relevant and interesting careers advice for creative and digital industries. Wrap around long-term advice to support progression</w:t>
            </w:r>
          </w:p>
        </w:tc>
      </w:tr>
      <w:tr w:rsidR="00412111" w:rsidRPr="00F72A73" w14:paraId="51EF5A69" w14:textId="77777777" w:rsidTr="00FA3139">
        <w:trPr>
          <w:trHeight w:val="243"/>
        </w:trPr>
        <w:tc>
          <w:tcPr>
            <w:tcW w:w="190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50E432D1" w14:textId="77777777" w:rsidR="00412111" w:rsidRPr="00004521" w:rsidRDefault="00412111" w:rsidP="00FA3139">
            <w:pPr>
              <w:pStyle w:val="TableTitleInTable"/>
              <w:rPr>
                <w:rFonts w:ascii="Source Sans Pro" w:eastAsia="Yu Gothic UI" w:hAnsi="Source Sans Pro"/>
                <w:b/>
                <w:bCs/>
                <w:color w:val="052D3F" w:themeColor="accent1"/>
                <w:szCs w:val="44"/>
                <w:lang w:val="en-US"/>
              </w:rPr>
            </w:pPr>
            <w:r w:rsidRPr="00F17D61">
              <w:rPr>
                <w:rFonts w:ascii="Source Sans Pro" w:eastAsia="Yu Gothic UI" w:hAnsi="Source Sans Pro"/>
                <w:b/>
                <w:bCs/>
                <w:color w:val="052D3F" w:themeColor="accent1"/>
                <w:szCs w:val="44"/>
              </w:rPr>
              <w:t>Heathrow Early Careers and Internships</w:t>
            </w:r>
          </w:p>
        </w:tc>
        <w:tc>
          <w:tcPr>
            <w:tcW w:w="6438" w:type="dxa"/>
            <w:tcBorders>
              <w:top w:val="single" w:sz="8" w:space="0" w:color="FF5000" w:themeColor="accent6"/>
              <w:left w:val="nil"/>
              <w:bottom w:val="single" w:sz="8" w:space="0" w:color="FF5000" w:themeColor="accent6"/>
              <w:right w:val="nil"/>
            </w:tcBorders>
            <w:vAlign w:val="center"/>
          </w:tcPr>
          <w:p w14:paraId="5D7E50D1" w14:textId="77777777" w:rsidR="00412111" w:rsidRPr="0006591F" w:rsidRDefault="00412111" w:rsidP="00FA3139">
            <w:pPr>
              <w:pStyle w:val="TableTitleInTable"/>
              <w:ind w:left="0"/>
              <w:jc w:val="both"/>
              <w:rPr>
                <w:rFonts w:ascii="Source Sans Pro" w:eastAsia="Yu Gothic UI" w:hAnsi="Source Sans Pro"/>
                <w:bCs/>
                <w:color w:val="052D3F"/>
                <w:szCs w:val="44"/>
                <w:lang w:val="en-US"/>
              </w:rPr>
            </w:pPr>
            <w:r w:rsidRPr="00160CE5">
              <w:rPr>
                <w:rFonts w:ascii="Source Sans Pro" w:eastAsia="Yu Gothic UI" w:hAnsi="Source Sans Pro"/>
                <w:bCs/>
                <w:noProof/>
                <w:color w:val="052D3F"/>
                <w:szCs w:val="44"/>
              </w:rPr>
              <w:drawing>
                <wp:anchor distT="0" distB="0" distL="114300" distR="114300" simplePos="0" relativeHeight="251658249" behindDoc="0" locked="0" layoutInCell="1" allowOverlap="1" wp14:anchorId="213D40A6" wp14:editId="45E5DA00">
                  <wp:simplePos x="0" y="0"/>
                  <wp:positionH relativeFrom="column">
                    <wp:posOffset>1936115</wp:posOffset>
                  </wp:positionH>
                  <wp:positionV relativeFrom="paragraph">
                    <wp:posOffset>529590</wp:posOffset>
                  </wp:positionV>
                  <wp:extent cx="2066925" cy="677545"/>
                  <wp:effectExtent l="0" t="0" r="9525" b="8255"/>
                  <wp:wrapSquare wrapText="bothSides"/>
                  <wp:docPr id="204" name="Picture 19">
                    <a:extLst xmlns:a="http://schemas.openxmlformats.org/drawingml/2006/main">
                      <a:ext uri="{FF2B5EF4-FFF2-40B4-BE49-F238E27FC236}">
                        <a16:creationId xmlns:a16="http://schemas.microsoft.com/office/drawing/2014/main" id="{F88D1918-6C4E-4A26-81EC-B29668D076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F88D1918-6C4E-4A26-81EC-B29668D076F8}"/>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066925" cy="677545"/>
                          </a:xfrm>
                          <a:prstGeom prst="rect">
                            <a:avLst/>
                          </a:prstGeom>
                        </pic:spPr>
                      </pic:pic>
                    </a:graphicData>
                  </a:graphic>
                  <wp14:sizeRelH relativeFrom="page">
                    <wp14:pctWidth>0</wp14:pctWidth>
                  </wp14:sizeRelH>
                  <wp14:sizeRelV relativeFrom="page">
                    <wp14:pctHeight>0</wp14:pctHeight>
                  </wp14:sizeRelV>
                </wp:anchor>
              </w:drawing>
            </w:r>
            <w:r w:rsidRPr="0006591F">
              <w:rPr>
                <w:rFonts w:ascii="Source Sans Pro" w:eastAsia="Yu Gothic UI" w:hAnsi="Source Sans Pro"/>
                <w:bCs/>
                <w:color w:val="052D3F"/>
                <w:szCs w:val="44"/>
              </w:rPr>
              <w:t xml:space="preserve">Heathrow Airport offers a range of 10-12 month paid internships in various elements of airport operation. They are career focussed providing the basis for candidates to secure access to a range of experiences and make positive choices about their future in a supportive environment. </w:t>
            </w:r>
          </w:p>
        </w:tc>
      </w:tr>
      <w:tr w:rsidR="00412111" w:rsidRPr="00F72A73" w14:paraId="17280BA3" w14:textId="77777777" w:rsidTr="00FA3139">
        <w:trPr>
          <w:trHeight w:val="243"/>
        </w:trPr>
        <w:tc>
          <w:tcPr>
            <w:tcW w:w="1900" w:type="dxa"/>
            <w:tcBorders>
              <w:top w:val="single" w:sz="8" w:space="0" w:color="FF5000" w:themeColor="accent6"/>
              <w:left w:val="nil"/>
              <w:bottom w:val="single" w:sz="8" w:space="0" w:color="FF5000" w:themeColor="accent6"/>
              <w:right w:val="nil"/>
            </w:tcBorders>
            <w:shd w:val="clear" w:color="auto" w:fill="E9E9EA"/>
            <w:tcMar>
              <w:top w:w="72" w:type="dxa"/>
              <w:left w:w="144" w:type="dxa"/>
              <w:bottom w:w="72" w:type="dxa"/>
              <w:right w:w="144" w:type="dxa"/>
            </w:tcMar>
            <w:vAlign w:val="center"/>
          </w:tcPr>
          <w:p w14:paraId="666C4AFB" w14:textId="77777777" w:rsidR="00412111" w:rsidRPr="00004521" w:rsidRDefault="00412111" w:rsidP="00FA3139">
            <w:pPr>
              <w:pStyle w:val="TableTitleInTable"/>
              <w:rPr>
                <w:rFonts w:ascii="Source Sans Pro" w:eastAsia="Yu Gothic UI" w:hAnsi="Source Sans Pro"/>
                <w:b/>
                <w:bCs/>
                <w:color w:val="052D3F" w:themeColor="accent1"/>
                <w:szCs w:val="44"/>
                <w:lang w:val="en-US"/>
              </w:rPr>
            </w:pPr>
            <w:r w:rsidRPr="00F17D61">
              <w:rPr>
                <w:rFonts w:ascii="Source Sans Pro" w:eastAsia="Yu Gothic UI" w:hAnsi="Source Sans Pro"/>
                <w:b/>
                <w:bCs/>
                <w:color w:val="052D3F" w:themeColor="accent1"/>
                <w:szCs w:val="44"/>
              </w:rPr>
              <w:t>Go Sutton</w:t>
            </w:r>
            <w:r>
              <w:rPr>
                <w:rFonts w:ascii="Source Sans Pro" w:eastAsia="Yu Gothic UI" w:hAnsi="Source Sans Pro"/>
                <w:bCs/>
                <w:color w:val="052D3F"/>
                <w:szCs w:val="44"/>
                <w:lang w:val="en-US"/>
              </w:rPr>
              <w:t xml:space="preserve"> Overcoming connection barriers</w:t>
            </w:r>
          </w:p>
        </w:tc>
        <w:tc>
          <w:tcPr>
            <w:tcW w:w="6438" w:type="dxa"/>
            <w:tcBorders>
              <w:top w:val="single" w:sz="8" w:space="0" w:color="FF5000" w:themeColor="accent6"/>
              <w:left w:val="nil"/>
              <w:bottom w:val="single" w:sz="8" w:space="0" w:color="FF5000" w:themeColor="accent6"/>
              <w:right w:val="nil"/>
            </w:tcBorders>
            <w:shd w:val="clear" w:color="auto" w:fill="E9E9EA"/>
            <w:vAlign w:val="center"/>
          </w:tcPr>
          <w:p w14:paraId="63855B0B" w14:textId="77777777" w:rsidR="00412111" w:rsidRPr="00143B28" w:rsidRDefault="00412111" w:rsidP="00FA3139">
            <w:pPr>
              <w:pStyle w:val="TableTitleInTable"/>
              <w:jc w:val="both"/>
              <w:rPr>
                <w:rFonts w:ascii="Source Sans Pro" w:eastAsia="Yu Gothic UI" w:hAnsi="Source Sans Pro"/>
                <w:bCs/>
                <w:color w:val="052D3F"/>
                <w:szCs w:val="44"/>
                <w:lang w:val="en-US"/>
              </w:rPr>
            </w:pPr>
            <w:r w:rsidRPr="00160CE5">
              <w:rPr>
                <w:rFonts w:ascii="Source Sans Pro" w:eastAsia="Yu Gothic UI" w:hAnsi="Source Sans Pro"/>
                <w:bCs/>
                <w:noProof/>
                <w:color w:val="052D3F"/>
                <w:szCs w:val="44"/>
              </w:rPr>
              <w:drawing>
                <wp:anchor distT="0" distB="0" distL="114300" distR="114300" simplePos="0" relativeHeight="251658250" behindDoc="0" locked="0" layoutInCell="1" allowOverlap="1" wp14:anchorId="1DE90699" wp14:editId="0FAED1D5">
                  <wp:simplePos x="0" y="0"/>
                  <wp:positionH relativeFrom="column">
                    <wp:posOffset>1637030</wp:posOffset>
                  </wp:positionH>
                  <wp:positionV relativeFrom="paragraph">
                    <wp:posOffset>306070</wp:posOffset>
                  </wp:positionV>
                  <wp:extent cx="2364740" cy="1043940"/>
                  <wp:effectExtent l="0" t="0" r="0" b="3810"/>
                  <wp:wrapSquare wrapText="bothSides"/>
                  <wp:docPr id="205" name="Picture 24">
                    <a:extLst xmlns:a="http://schemas.openxmlformats.org/drawingml/2006/main">
                      <a:ext uri="{FF2B5EF4-FFF2-40B4-BE49-F238E27FC236}">
                        <a16:creationId xmlns:a16="http://schemas.microsoft.com/office/drawing/2014/main" id="{FD326BC3-F85E-4F9F-A63B-3D6FFFDB24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FD326BC3-F85E-4F9F-A63B-3D6FFFDB2489}"/>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364740" cy="1043940"/>
                          </a:xfrm>
                          <a:prstGeom prst="rect">
                            <a:avLst/>
                          </a:prstGeom>
                        </pic:spPr>
                      </pic:pic>
                    </a:graphicData>
                  </a:graphic>
                  <wp14:sizeRelH relativeFrom="page">
                    <wp14:pctWidth>0</wp14:pctWidth>
                  </wp14:sizeRelH>
                  <wp14:sizeRelV relativeFrom="page">
                    <wp14:pctHeight>0</wp14:pctHeight>
                  </wp14:sizeRelV>
                </wp:anchor>
              </w:drawing>
            </w:r>
            <w:r w:rsidRPr="00143B28">
              <w:rPr>
                <w:rFonts w:ascii="Source Sans Pro" w:eastAsia="Yu Gothic UI" w:hAnsi="Source Sans Pro"/>
                <w:bCs/>
                <w:color w:val="052D3F"/>
                <w:szCs w:val="44"/>
              </w:rPr>
              <w:t>A new TfL pilot. Provides an on demand app based bus service link residents from the poorest connected parts of the borough to town centre, employment areas, hospital and other amenity,</w:t>
            </w:r>
            <w:r w:rsidRPr="00160CE5">
              <w:rPr>
                <w:noProof/>
              </w:rPr>
              <w:t xml:space="preserve"> </w:t>
            </w:r>
          </w:p>
          <w:p w14:paraId="0E02A95D" w14:textId="77777777" w:rsidR="00412111" w:rsidRPr="00143B28" w:rsidRDefault="00412111" w:rsidP="00FA3139">
            <w:pPr>
              <w:pStyle w:val="TableTitleInTable"/>
              <w:jc w:val="both"/>
              <w:rPr>
                <w:rFonts w:ascii="Source Sans Pro" w:eastAsia="Yu Gothic UI" w:hAnsi="Source Sans Pro"/>
                <w:bCs/>
                <w:color w:val="052D3F"/>
                <w:szCs w:val="44"/>
                <w:lang w:val="en-US"/>
              </w:rPr>
            </w:pPr>
          </w:p>
        </w:tc>
      </w:tr>
    </w:tbl>
    <w:p w14:paraId="344989D1" w14:textId="3C4719D9" w:rsidR="004468CB" w:rsidRDefault="00412111" w:rsidP="00C437AC">
      <w:pPr>
        <w:pStyle w:val="RDParagraph"/>
      </w:pPr>
      <w:r>
        <w:tab/>
      </w:r>
      <w:r>
        <w:br w:type="page"/>
      </w:r>
    </w:p>
    <w:p w14:paraId="43EC7EB1" w14:textId="5708932F" w:rsidR="00202234" w:rsidRPr="004908D5" w:rsidRDefault="00DD24D5" w:rsidP="006E19C6">
      <w:pPr>
        <w:pStyle w:val="RDTier2"/>
        <w:ind w:left="0" w:firstLine="680"/>
        <w:rPr>
          <w:b w:val="0"/>
        </w:rPr>
      </w:pPr>
      <w:r>
        <w:t xml:space="preserve">ECO </w:t>
      </w:r>
      <w:r w:rsidR="00F7226C">
        <w:t>3</w:t>
      </w:r>
      <w:r w:rsidR="004908D5">
        <w:t xml:space="preserve">. </w:t>
      </w:r>
      <w:bookmarkEnd w:id="36"/>
      <w:bookmarkEnd w:id="37"/>
      <w:bookmarkEnd w:id="38"/>
      <w:r w:rsidR="00F7226C">
        <w:t>B</w:t>
      </w:r>
      <w:r w:rsidR="0095013C">
        <w:t xml:space="preserve">usiness </w:t>
      </w:r>
      <w:r w:rsidR="00F7226C">
        <w:t>S</w:t>
      </w:r>
      <w:r w:rsidR="0095013C">
        <w:t>upport</w:t>
      </w:r>
      <w:r w:rsidR="004908D5">
        <w:t>: Building a Balanced Economy</w:t>
      </w:r>
    </w:p>
    <w:p w14:paraId="704C0D78" w14:textId="5E3EF4C6" w:rsidR="009019C7" w:rsidRPr="008A141E" w:rsidRDefault="00864800" w:rsidP="009019C7">
      <w:pPr>
        <w:pStyle w:val="RDParagraph"/>
      </w:pPr>
      <w:r>
        <w:t>To</w:t>
      </w:r>
      <w:r w:rsidR="003628DC">
        <w:t xml:space="preserve"> attract the scale of market demand needed to </w:t>
      </w:r>
      <w:r>
        <w:t>meet future commercial space</w:t>
      </w:r>
      <w:r w:rsidR="003628DC">
        <w:t xml:space="preserve"> </w:t>
      </w:r>
      <w:r>
        <w:t>capacity (c.40,000 jobs), t</w:t>
      </w:r>
      <w:r w:rsidR="009019C7">
        <w:t>he Royal Docks need to be (and be perceived as) one of London’s most prominent and dynamic business locations. It needs to do this in a way which balances domestic and international investment alongside supporting companies to start, locate and grow in the area. Successful delivery will safeguard the commercial future of</w:t>
      </w:r>
      <w:r w:rsidR="00AE31F2">
        <w:t xml:space="preserve"> the Royal</w:t>
      </w:r>
      <w:r w:rsidR="009019C7">
        <w:t xml:space="preserve"> Docks. </w:t>
      </w:r>
    </w:p>
    <w:p w14:paraId="408D4371" w14:textId="77777777" w:rsidR="007010D2" w:rsidRPr="007561BD" w:rsidRDefault="007010D2" w:rsidP="007010D2">
      <w:pPr>
        <w:pStyle w:val="RDTier3"/>
      </w:pPr>
      <w:r w:rsidRPr="007561BD">
        <w:t xml:space="preserve">Investment </w:t>
      </w:r>
      <w:r>
        <w:t>Parameters</w:t>
      </w:r>
    </w:p>
    <w:p w14:paraId="13BB7F53" w14:textId="1640C6BC" w:rsidR="009019C7" w:rsidRPr="007010D2" w:rsidRDefault="00722379" w:rsidP="00C42059">
      <w:pPr>
        <w:pStyle w:val="RDParagraph"/>
      </w:pPr>
      <w:r>
        <w:t>T</w:t>
      </w:r>
      <w:r w:rsidR="009019C7" w:rsidRPr="007010D2">
        <w:t xml:space="preserve">he current </w:t>
      </w:r>
      <w:r>
        <w:t>D</w:t>
      </w:r>
      <w:r w:rsidR="009019C7" w:rsidRPr="007010D2">
        <w:t xml:space="preserve">elivery </w:t>
      </w:r>
      <w:r>
        <w:t>P</w:t>
      </w:r>
      <w:r w:rsidR="009019C7" w:rsidRPr="007010D2">
        <w:t>lan</w:t>
      </w:r>
      <w:r>
        <w:t xml:space="preserve"> PID </w:t>
      </w:r>
      <w:r w:rsidR="009019C7" w:rsidRPr="007010D2">
        <w:t>sets out a small number of distinct activities as well as the potential for partners to use the fund to support on</w:t>
      </w:r>
      <w:r w:rsidR="00972F67">
        <w:t>-</w:t>
      </w:r>
      <w:r w:rsidR="009019C7" w:rsidRPr="007010D2">
        <w:t xml:space="preserve">site </w:t>
      </w:r>
      <w:r w:rsidR="00972F67">
        <w:t xml:space="preserve">business </w:t>
      </w:r>
      <w:r w:rsidR="009019C7" w:rsidRPr="007010D2">
        <w:t xml:space="preserve">activities. </w:t>
      </w:r>
      <w:r w:rsidR="00083E28">
        <w:t>This</w:t>
      </w:r>
      <w:r w:rsidR="009019C7" w:rsidRPr="007010D2">
        <w:t xml:space="preserve"> include</w:t>
      </w:r>
      <w:r w:rsidR="00083E28">
        <w:t>s</w:t>
      </w:r>
      <w:r w:rsidR="00003004" w:rsidRPr="007010D2">
        <w:t>:</w:t>
      </w:r>
    </w:p>
    <w:p w14:paraId="1B1049B4" w14:textId="55CA109C" w:rsidR="009019C7" w:rsidRPr="007010D2" w:rsidRDefault="009019C7" w:rsidP="00C42059">
      <w:pPr>
        <w:pStyle w:val="RDBullet"/>
        <w:rPr>
          <w:lang w:val="en-US"/>
        </w:rPr>
      </w:pPr>
      <w:r w:rsidRPr="007010D2">
        <w:t xml:space="preserve">The ‘Royal Docks Ambassador Programme’ of bigger </w:t>
      </w:r>
      <w:r w:rsidR="00972F67">
        <w:t>Royal D</w:t>
      </w:r>
      <w:r w:rsidRPr="007010D2">
        <w:t>ock</w:t>
      </w:r>
      <w:r w:rsidR="00972F67">
        <w:t>’</w:t>
      </w:r>
      <w:r w:rsidRPr="007010D2">
        <w:t>s companies assembling to provide business representation and stewardship within the area</w:t>
      </w:r>
    </w:p>
    <w:p w14:paraId="5AE83ADB" w14:textId="6B90CB73" w:rsidR="009019C7" w:rsidRPr="007010D2" w:rsidRDefault="009019C7" w:rsidP="00C42059">
      <w:pPr>
        <w:pStyle w:val="RDBullet"/>
        <w:rPr>
          <w:lang w:val="en-US"/>
        </w:rPr>
      </w:pPr>
      <w:r w:rsidRPr="007010D2">
        <w:t>Significant focus on early stage start up activity and ‘initial diagnostic’ supporting local residents in ‘how to start a business”</w:t>
      </w:r>
    </w:p>
    <w:p w14:paraId="1A26D3CE" w14:textId="43FB421C" w:rsidR="009019C7" w:rsidRPr="007010D2" w:rsidRDefault="00EB1EA2" w:rsidP="00C42059">
      <w:pPr>
        <w:pStyle w:val="RDBullet"/>
        <w:rPr>
          <w:lang w:val="en-US"/>
        </w:rPr>
      </w:pPr>
      <w:r>
        <w:t>S</w:t>
      </w:r>
      <w:r w:rsidR="009019C7" w:rsidRPr="007010D2">
        <w:t xml:space="preserve">upport is tailored to the </w:t>
      </w:r>
      <w:r w:rsidR="00367DBE">
        <w:t xml:space="preserve">needs of </w:t>
      </w:r>
      <w:r w:rsidR="009019C7" w:rsidRPr="007010D2">
        <w:t>specific industry sectors</w:t>
      </w:r>
    </w:p>
    <w:p w14:paraId="5E983D0E" w14:textId="073C9957" w:rsidR="009019C7" w:rsidRPr="007010D2" w:rsidRDefault="00EB1EA2" w:rsidP="00C42059">
      <w:pPr>
        <w:pStyle w:val="RDBullet"/>
        <w:rPr>
          <w:lang w:val="en-US"/>
        </w:rPr>
      </w:pPr>
      <w:r>
        <w:t>W</w:t>
      </w:r>
      <w:r w:rsidR="009019C7" w:rsidRPr="007010D2">
        <w:t>orkshop</w:t>
      </w:r>
      <w:r w:rsidR="00367DBE">
        <w:t>-</w:t>
      </w:r>
      <w:r w:rsidR="009019C7" w:rsidRPr="007010D2">
        <w:t>based provision to deliver specific entrepreneurial support</w:t>
      </w:r>
      <w:r w:rsidR="00D3766A" w:rsidRPr="007010D2">
        <w:t>.</w:t>
      </w:r>
    </w:p>
    <w:p w14:paraId="01F062A1" w14:textId="62652413" w:rsidR="00375588" w:rsidRDefault="00375588" w:rsidP="005B69CD">
      <w:pPr>
        <w:pStyle w:val="RDParagraph"/>
        <w:rPr>
          <w:lang w:val="en-US"/>
        </w:rPr>
      </w:pPr>
      <w:r>
        <w:rPr>
          <w:lang w:val="en-US"/>
        </w:rPr>
        <w:t>To support the focus and aspirations of the Economic Purpose, t</w:t>
      </w:r>
      <w:r w:rsidR="009019C7">
        <w:rPr>
          <w:lang w:val="en-US"/>
        </w:rPr>
        <w:t xml:space="preserve">he business support element </w:t>
      </w:r>
      <w:r w:rsidR="00E574F1">
        <w:rPr>
          <w:lang w:val="en-US"/>
        </w:rPr>
        <w:t>delivery</w:t>
      </w:r>
      <w:r w:rsidR="009019C7">
        <w:rPr>
          <w:lang w:val="en-US"/>
        </w:rPr>
        <w:t xml:space="preserve"> should be more active and enabling, with a clearer statement of intent. </w:t>
      </w:r>
    </w:p>
    <w:p w14:paraId="2AD04DFE" w14:textId="2E24621A" w:rsidR="008A2F5F" w:rsidRDefault="009019C7" w:rsidP="005B69CD">
      <w:pPr>
        <w:pStyle w:val="RDParagraph"/>
        <w:rPr>
          <w:lang w:val="en-US"/>
        </w:rPr>
      </w:pPr>
      <w:r>
        <w:rPr>
          <w:lang w:val="en-US"/>
        </w:rPr>
        <w:t>It needs to balance the needs of local small business, but also be a stimulus for innovation and inward investment. Evidence suggests that business start</w:t>
      </w:r>
      <w:r w:rsidR="00E574F1">
        <w:rPr>
          <w:lang w:val="en-US"/>
        </w:rPr>
        <w:t>-</w:t>
      </w:r>
      <w:r>
        <w:rPr>
          <w:lang w:val="en-US"/>
        </w:rPr>
        <w:t xml:space="preserve">up rates in Newham and the Royal Docks area are relatively good, but that </w:t>
      </w:r>
      <w:r w:rsidR="00E574F1">
        <w:rPr>
          <w:lang w:val="en-US"/>
        </w:rPr>
        <w:t xml:space="preserve">levels of </w:t>
      </w:r>
      <w:r>
        <w:rPr>
          <w:lang w:val="en-US"/>
        </w:rPr>
        <w:t xml:space="preserve">scaling and survival are low. </w:t>
      </w:r>
      <w:r w:rsidR="00E21C6A">
        <w:rPr>
          <w:lang w:val="en-US"/>
        </w:rPr>
        <w:t xml:space="preserve"> </w:t>
      </w:r>
      <w:r w:rsidR="008A2F5F">
        <w:rPr>
          <w:lang w:val="en-US"/>
        </w:rPr>
        <w:t xml:space="preserve">It also needs to evolve to more closely reflect the role that Royal Dock’s businesses will need to play in delivering the council’s community wealth building objectives. </w:t>
      </w:r>
    </w:p>
    <w:p w14:paraId="17CFB46F" w14:textId="13E4C442" w:rsidR="0000585B" w:rsidRDefault="0000585B" w:rsidP="0000585B">
      <w:pPr>
        <w:pStyle w:val="RDTier3"/>
      </w:pPr>
      <w:r>
        <w:t>Delivery Focus</w:t>
      </w:r>
    </w:p>
    <w:p w14:paraId="4A49E5E7" w14:textId="2F037A40" w:rsidR="005F375B" w:rsidRPr="005F375B" w:rsidRDefault="005F375B" w:rsidP="005F375B">
      <w:pPr>
        <w:pStyle w:val="RDParagraph"/>
      </w:pPr>
      <w:r>
        <w:t>Three main areas have been identified for initial focus and investment:</w:t>
      </w:r>
    </w:p>
    <w:p w14:paraId="7E19CFEB" w14:textId="1073623D" w:rsidR="00E574F1" w:rsidRPr="00A92D74" w:rsidRDefault="00760FD9" w:rsidP="00185A28">
      <w:pPr>
        <w:pStyle w:val="RDnumber"/>
        <w:numPr>
          <w:ilvl w:val="0"/>
          <w:numId w:val="43"/>
        </w:numPr>
        <w:ind w:left="993" w:hanging="284"/>
        <w:rPr>
          <w:lang w:val="en-US"/>
        </w:rPr>
      </w:pPr>
      <w:r w:rsidRPr="00A92D74">
        <w:rPr>
          <w:lang w:val="en-US"/>
        </w:rPr>
        <w:t>Green Business Accelerator Programme</w:t>
      </w:r>
      <w:r w:rsidR="00EA3E29" w:rsidRPr="00A92D74">
        <w:rPr>
          <w:lang w:val="en-US"/>
        </w:rPr>
        <w:t xml:space="preserve">: </w:t>
      </w:r>
      <w:r w:rsidR="000D63E9" w:rsidRPr="00A92D74">
        <w:rPr>
          <w:b w:val="0"/>
          <w:lang w:val="en-US"/>
        </w:rPr>
        <w:t>Again linked to Newham’s Green New Deal and asp</w:t>
      </w:r>
      <w:r w:rsidR="00EA3E29" w:rsidRPr="00A92D74">
        <w:rPr>
          <w:b w:val="0"/>
          <w:lang w:val="en-US"/>
        </w:rPr>
        <w:t xml:space="preserve">irations to instill an environmentally focused ethos </w:t>
      </w:r>
      <w:r w:rsidR="0037075E" w:rsidRPr="00A92D74">
        <w:rPr>
          <w:b w:val="0"/>
          <w:lang w:val="en-US"/>
        </w:rPr>
        <w:t xml:space="preserve">across the </w:t>
      </w:r>
      <w:r w:rsidR="00E4670C" w:rsidRPr="00A92D74">
        <w:rPr>
          <w:b w:val="0"/>
          <w:lang w:val="en-US"/>
        </w:rPr>
        <w:t>Royal Dock’s</w:t>
      </w:r>
      <w:r w:rsidR="00A770E2" w:rsidRPr="00A92D74">
        <w:rPr>
          <w:b w:val="0"/>
          <w:lang w:val="en-US"/>
        </w:rPr>
        <w:t xml:space="preserve">, </w:t>
      </w:r>
      <w:r w:rsidR="000D63E9" w:rsidRPr="00A92D74">
        <w:rPr>
          <w:b w:val="0"/>
          <w:lang w:val="en-US"/>
        </w:rPr>
        <w:t xml:space="preserve">this will seek to </w:t>
      </w:r>
      <w:r w:rsidR="0037075E" w:rsidRPr="00A92D74">
        <w:rPr>
          <w:b w:val="0"/>
          <w:lang w:val="en-US"/>
        </w:rPr>
        <w:t>develop a targeted programme to establish the area as a testing ground for</w:t>
      </w:r>
      <w:r w:rsidR="0019002F" w:rsidRPr="00A92D74">
        <w:rPr>
          <w:b w:val="0"/>
          <w:lang w:val="en-US"/>
        </w:rPr>
        <w:t xml:space="preserve"> innovative and</w:t>
      </w:r>
      <w:r w:rsidR="0037075E" w:rsidRPr="00A92D74">
        <w:rPr>
          <w:b w:val="0"/>
          <w:lang w:val="en-US"/>
        </w:rPr>
        <w:t xml:space="preserve"> green enterprise</w:t>
      </w:r>
      <w:r w:rsidR="002E5D15" w:rsidRPr="00A92D74">
        <w:rPr>
          <w:b w:val="0"/>
          <w:lang w:val="en-US"/>
        </w:rPr>
        <w:t>. This might include</w:t>
      </w:r>
      <w:r w:rsidR="009A486E" w:rsidRPr="00A92D74">
        <w:rPr>
          <w:b w:val="0"/>
          <w:lang w:val="en-US"/>
        </w:rPr>
        <w:t>:</w:t>
      </w:r>
    </w:p>
    <w:p w14:paraId="35F0496C" w14:textId="65F98E0F" w:rsidR="002E5D15" w:rsidRDefault="002E5D15" w:rsidP="002D05A6">
      <w:pPr>
        <w:pStyle w:val="RDbullettier2"/>
      </w:pPr>
      <w:r>
        <w:t xml:space="preserve">Identifying spaces to accommodate (and ideally cluster) early state green innovation businesses, developing a critical mass of these companies through </w:t>
      </w:r>
      <w:r w:rsidR="00630912">
        <w:t>focused</w:t>
      </w:r>
      <w:r>
        <w:t xml:space="preserve"> support, </w:t>
      </w:r>
      <w:r w:rsidR="00E00CA0">
        <w:t xml:space="preserve">knowledge exchange programmes and scale-up </w:t>
      </w:r>
      <w:r w:rsidR="00630912">
        <w:t>and spin-out programmes</w:t>
      </w:r>
    </w:p>
    <w:p w14:paraId="29A63960" w14:textId="660452D1" w:rsidR="00065ADE" w:rsidRPr="002E5D15" w:rsidRDefault="00BC540C" w:rsidP="002D05A6">
      <w:pPr>
        <w:pStyle w:val="RDbullettier2"/>
      </w:pPr>
      <w:r>
        <w:t>R</w:t>
      </w:r>
      <w:r w:rsidR="00630912" w:rsidRPr="002E5D15">
        <w:t>ecruit</w:t>
      </w:r>
      <w:r>
        <w:t>ing</w:t>
      </w:r>
      <w:r w:rsidR="00630912">
        <w:t xml:space="preserve"> </w:t>
      </w:r>
      <w:r w:rsidR="00065ADE" w:rsidRPr="002E5D15">
        <w:t xml:space="preserve">a </w:t>
      </w:r>
      <w:r>
        <w:t xml:space="preserve">small </w:t>
      </w:r>
      <w:r w:rsidR="00065ADE" w:rsidRPr="002E5D15">
        <w:t xml:space="preserve">cohort </w:t>
      </w:r>
      <w:r>
        <w:t xml:space="preserve">of </w:t>
      </w:r>
      <w:r w:rsidR="003655EB">
        <w:t xml:space="preserve">start-up green enterprises with </w:t>
      </w:r>
      <w:r w:rsidR="00065ADE" w:rsidRPr="002E5D15">
        <w:t>high growth potential. Build a three</w:t>
      </w:r>
      <w:r w:rsidR="003655EB">
        <w:t>-</w:t>
      </w:r>
      <w:r w:rsidR="00065ADE" w:rsidRPr="002E5D15">
        <w:t>year programme of support with spaces, support and finance to support rapid growth within the Docks</w:t>
      </w:r>
      <w:r w:rsidR="003655EB">
        <w:t xml:space="preserve">, </w:t>
      </w:r>
      <w:r w:rsidR="005909E6">
        <w:t xml:space="preserve">positioning these as the focal point of the future cluster. </w:t>
      </w:r>
    </w:p>
    <w:p w14:paraId="3ABC5261" w14:textId="74495CD4" w:rsidR="003371DA" w:rsidRPr="001666D5" w:rsidRDefault="001666D5" w:rsidP="00185A28">
      <w:pPr>
        <w:pStyle w:val="RDnumber"/>
        <w:numPr>
          <w:ilvl w:val="0"/>
          <w:numId w:val="43"/>
        </w:numPr>
        <w:ind w:left="993" w:hanging="284"/>
      </w:pPr>
      <w:r w:rsidRPr="00A92D74">
        <w:rPr>
          <w:lang w:val="en-US"/>
        </w:rPr>
        <w:t>Business</w:t>
      </w:r>
      <w:r w:rsidRPr="001666D5">
        <w:t xml:space="preserve"> Loan Fund</w:t>
      </w:r>
      <w:r>
        <w:t xml:space="preserve">: </w:t>
      </w:r>
      <w:r w:rsidR="00724B57">
        <w:rPr>
          <w:b w:val="0"/>
        </w:rPr>
        <w:t xml:space="preserve">a new loan fund targeted at supporting local businesses to grow and scale up within the Royal Docks, and </w:t>
      </w:r>
      <w:r w:rsidR="004359E0">
        <w:rPr>
          <w:b w:val="0"/>
        </w:rPr>
        <w:t>focusing specifically on businesses demonstrating a green or social focused ethos or proposals.</w:t>
      </w:r>
      <w:r w:rsidR="00C7507C">
        <w:rPr>
          <w:b w:val="0"/>
        </w:rPr>
        <w:t xml:space="preserve"> The Opportunity Investment Fund model developed in Haringey and now extended across the Upper Lea Valley offers an interesting template and learning.</w:t>
      </w:r>
    </w:p>
    <w:p w14:paraId="6BE3E2AD" w14:textId="33D0D52E" w:rsidR="00A92D74" w:rsidRPr="005F3CCF" w:rsidRDefault="00A92D74" w:rsidP="00185A28">
      <w:pPr>
        <w:pStyle w:val="RDnumber"/>
        <w:numPr>
          <w:ilvl w:val="0"/>
          <w:numId w:val="43"/>
        </w:numPr>
        <w:ind w:left="993" w:hanging="284"/>
        <w:rPr>
          <w:b w:val="0"/>
        </w:rPr>
      </w:pPr>
      <w:r w:rsidRPr="005F3CCF">
        <w:rPr>
          <w:lang w:val="en-US"/>
        </w:rPr>
        <w:t xml:space="preserve">Business connectors: </w:t>
      </w:r>
      <w:r w:rsidRPr="005F3CCF">
        <w:rPr>
          <w:b w:val="0"/>
          <w:lang w:val="en-US"/>
        </w:rPr>
        <w:t>f</w:t>
      </w:r>
      <w:r w:rsidRPr="005F3CCF">
        <w:rPr>
          <w:b w:val="0"/>
        </w:rPr>
        <w:t>und</w:t>
      </w:r>
      <w:r>
        <w:rPr>
          <w:b w:val="0"/>
        </w:rPr>
        <w:t>ing for</w:t>
      </w:r>
      <w:r w:rsidRPr="005F3CCF">
        <w:rPr>
          <w:b w:val="0"/>
        </w:rPr>
        <w:t xml:space="preserve"> </w:t>
      </w:r>
      <w:r w:rsidRPr="005F3CCF">
        <w:rPr>
          <w:b w:val="0"/>
          <w:lang w:val="en-US"/>
        </w:rPr>
        <w:t xml:space="preserve">to lay the basis for future support activities, and to instill the focus </w:t>
      </w:r>
      <w:r>
        <w:rPr>
          <w:b w:val="0"/>
          <w:lang w:val="en-US"/>
        </w:rPr>
        <w:t xml:space="preserve">and ethos </w:t>
      </w:r>
      <w:r w:rsidRPr="005F3CCF">
        <w:rPr>
          <w:b w:val="0"/>
          <w:lang w:val="en-US"/>
        </w:rPr>
        <w:t>of the Economic Purpose within the local economy</w:t>
      </w:r>
      <w:r>
        <w:rPr>
          <w:b w:val="0"/>
          <w:lang w:val="en-US"/>
        </w:rPr>
        <w:t>. The role</w:t>
      </w:r>
      <w:r>
        <w:rPr>
          <w:b w:val="0"/>
          <w:lang w:val="en-US"/>
        </w:rPr>
        <w:t>(s)</w:t>
      </w:r>
      <w:r>
        <w:rPr>
          <w:b w:val="0"/>
          <w:lang w:val="en-US"/>
        </w:rPr>
        <w:t xml:space="preserve"> would</w:t>
      </w:r>
      <w:r w:rsidRPr="005F3CCF">
        <w:rPr>
          <w:b w:val="0"/>
        </w:rPr>
        <w:t xml:space="preserve"> be to develop and maintain dialogue with companies as well as supporting outreach into the rest of Newham</w:t>
      </w:r>
      <w:r>
        <w:rPr>
          <w:b w:val="0"/>
        </w:rPr>
        <w:t>. Specifically this would include:</w:t>
      </w:r>
    </w:p>
    <w:p w14:paraId="207BEFC0" w14:textId="77777777" w:rsidR="00A92D74" w:rsidRDefault="00A92D74" w:rsidP="00A92D74">
      <w:pPr>
        <w:pStyle w:val="RDbullettier2"/>
      </w:pPr>
      <w:r>
        <w:t>Working with larger Royal Docks companies to support them to localise their supply chain and workforce, connecting them more effectively with local companies. Over time this would evolve to include meet the buyer support as well as a role as business figureheads for the Royal Docks.</w:t>
      </w:r>
    </w:p>
    <w:p w14:paraId="4DA9579D" w14:textId="77777777" w:rsidR="00A92D74" w:rsidRDefault="00A92D74" w:rsidP="00A92D74">
      <w:pPr>
        <w:pStyle w:val="RDbullettier2"/>
      </w:pPr>
      <w:r>
        <w:t>Working with small businesses in the Royal Dock’s to establish a central clearing function for smaller Royal Docks companies to engage with positive economic activity locally. This could include a shared approach to CSR or the sharing or internships and apprenticeships (linking to ECO2).</w:t>
      </w:r>
    </w:p>
    <w:p w14:paraId="74930B15" w14:textId="77777777" w:rsidR="00A92D74" w:rsidRDefault="00A92D74" w:rsidP="00A92D74">
      <w:pPr>
        <w:pStyle w:val="RDbullettier2"/>
      </w:pPr>
      <w:r>
        <w:t>Enterprise workshops and outreach in Newham Neighbourhoods to attract local residents and youth entrepreneurs to the Royal Docks. This would need to align with wider Employment and Skills activity (ECO2), and aspirations to provide space for youth enterprise locally (see ECO1).</w:t>
      </w:r>
    </w:p>
    <w:p w14:paraId="481D17CB" w14:textId="77777777" w:rsidR="00A92D74" w:rsidRDefault="00A92D74" w:rsidP="00A92D74">
      <w:pPr>
        <w:pStyle w:val="RDbullettier2"/>
      </w:pPr>
      <w:r>
        <w:t>Working with Newham Council officers to identify a ‘providers list’ of Newham professional services companies to provide support to start-up, growth and new arrival companies in the Royal Docks area, and establish a pipeline of Newham businesses and entrepreneurs wishing to take on space in emerging amenity locations (to respond directly to the to the needs and aspirations of existing community.</w:t>
      </w:r>
    </w:p>
    <w:p w14:paraId="1F26A7A1" w14:textId="77777777" w:rsidR="00A92D74" w:rsidRDefault="00A92D74" w:rsidP="00A92D74">
      <w:pPr>
        <w:pStyle w:val="RDbullettier2"/>
      </w:pPr>
      <w:r>
        <w:t>Providing wider business support signposting services, with a specific focus on  finance for growth. This could be public (London Co Investment Fund) or through longer term routes to Venture Capital and Business Angels.</w:t>
      </w:r>
    </w:p>
    <w:p w14:paraId="16740A71" w14:textId="5D13C274" w:rsidR="00E4670C" w:rsidRPr="00A92D74" w:rsidRDefault="00E4670C" w:rsidP="00A92D74">
      <w:pPr>
        <w:pStyle w:val="RDbullettier2"/>
      </w:pPr>
      <w:r>
        <w:t xml:space="preserve">Inward Investment: </w:t>
      </w:r>
      <w:r w:rsidRPr="00A92D74">
        <w:t xml:space="preserve">ongoing work with </w:t>
      </w:r>
      <w:r w:rsidR="00015490" w:rsidRPr="00A92D74">
        <w:t xml:space="preserve">London and Partners and </w:t>
      </w:r>
      <w:r w:rsidRPr="00A92D74">
        <w:t>developers to</w:t>
      </w:r>
      <w:r>
        <w:t xml:space="preserve"> </w:t>
      </w:r>
      <w:r w:rsidR="00A552EB" w:rsidRPr="00A92D74">
        <w:t xml:space="preserve">promote a </w:t>
      </w:r>
      <w:r w:rsidR="007D10F4" w:rsidRPr="00A92D74">
        <w:t xml:space="preserve">clear and </w:t>
      </w:r>
      <w:r w:rsidR="00A552EB" w:rsidRPr="00A92D74">
        <w:t xml:space="preserve">consistent message regarding the Royal Dock’s </w:t>
      </w:r>
      <w:r w:rsidR="00015490" w:rsidRPr="00A92D74">
        <w:t xml:space="preserve">‘Opportunity’ </w:t>
      </w:r>
      <w:r w:rsidR="00A552EB" w:rsidRPr="00A92D74">
        <w:t xml:space="preserve">and </w:t>
      </w:r>
      <w:r w:rsidR="00015490" w:rsidRPr="00A92D74">
        <w:t xml:space="preserve">regarding </w:t>
      </w:r>
      <w:r w:rsidR="00A552EB" w:rsidRPr="00A92D74">
        <w:t xml:space="preserve">its emerging economic hubs. </w:t>
      </w:r>
      <w:r w:rsidR="007D10F4" w:rsidRPr="00A92D74">
        <w:t>Specific focus should be placed on</w:t>
      </w:r>
      <w:r w:rsidR="009A486E" w:rsidRPr="00A92D74">
        <w:t>:</w:t>
      </w:r>
    </w:p>
    <w:p w14:paraId="422280BF" w14:textId="21788DAC" w:rsidR="009A486E" w:rsidRDefault="007D10F4" w:rsidP="00A92D74">
      <w:pPr>
        <w:pStyle w:val="RDbullettier2"/>
        <w:numPr>
          <w:ilvl w:val="2"/>
          <w:numId w:val="22"/>
        </w:numPr>
      </w:pPr>
      <w:r>
        <w:t>Establishing the pipeline</w:t>
      </w:r>
      <w:r w:rsidR="00A95AC5">
        <w:t>:</w:t>
      </w:r>
      <w:r>
        <w:t xml:space="preserve"> w</w:t>
      </w:r>
      <w:r w:rsidR="00F774E0" w:rsidRPr="009A486E">
        <w:t>ork</w:t>
      </w:r>
      <w:r w:rsidR="009A486E">
        <w:t>ing</w:t>
      </w:r>
      <w:r w:rsidR="00F774E0" w:rsidRPr="009A486E">
        <w:t xml:space="preserve"> with London and Partners to establish a Global SME Task Force, to identify the small businesses to loca</w:t>
      </w:r>
      <w:r w:rsidR="009A486E">
        <w:t>te</w:t>
      </w:r>
      <w:r w:rsidR="00F774E0" w:rsidRPr="009A486E">
        <w:t xml:space="preserve"> in the Royal Docks. </w:t>
      </w:r>
    </w:p>
    <w:p w14:paraId="32766743" w14:textId="6F32DE5B" w:rsidR="00F774E0" w:rsidRDefault="007D10F4" w:rsidP="00A92D74">
      <w:pPr>
        <w:pStyle w:val="RDbullettier2"/>
        <w:numPr>
          <w:ilvl w:val="2"/>
          <w:numId w:val="22"/>
        </w:numPr>
      </w:pPr>
      <w:r>
        <w:t>Aftercare</w:t>
      </w:r>
      <w:r w:rsidR="00A95AC5">
        <w:t>:</w:t>
      </w:r>
      <w:r>
        <w:t xml:space="preserve"> </w:t>
      </w:r>
      <w:r w:rsidR="00A95AC5">
        <w:t>working with developers</w:t>
      </w:r>
      <w:r w:rsidR="009E669A">
        <w:t xml:space="preserve"> </w:t>
      </w:r>
      <w:r w:rsidR="00A95AC5">
        <w:t>to develop</w:t>
      </w:r>
      <w:r w:rsidR="00F774E0" w:rsidRPr="009A486E">
        <w:t xml:space="preserve"> enhanced aftercare </w:t>
      </w:r>
      <w:r w:rsidR="00F774E0">
        <w:t xml:space="preserve">for companies </w:t>
      </w:r>
      <w:r w:rsidR="009E669A">
        <w:t>touching down</w:t>
      </w:r>
      <w:r w:rsidR="00A95AC5">
        <w:t xml:space="preserve">, with a focus on </w:t>
      </w:r>
      <w:r w:rsidR="00CA502A">
        <w:t xml:space="preserve">promoting </w:t>
      </w:r>
      <w:r w:rsidR="0062773D">
        <w:t xml:space="preserve">ethos, </w:t>
      </w:r>
      <w:r w:rsidR="00CA502A">
        <w:t xml:space="preserve">local links, and longevity. </w:t>
      </w:r>
    </w:p>
    <w:p w14:paraId="03A7CB95" w14:textId="77777777" w:rsidR="000B55BE" w:rsidRDefault="000B55BE" w:rsidP="000B55BE">
      <w:pPr>
        <w:pStyle w:val="RDTier3"/>
      </w:pPr>
      <w:r>
        <w:t>Outcomes: Contributions to Economic Purpose and Success Measures</w:t>
      </w:r>
    </w:p>
    <w:p w14:paraId="38221064" w14:textId="257D03B5" w:rsidR="009019C7" w:rsidRPr="00003004" w:rsidRDefault="001A4FC2" w:rsidP="00003004">
      <w:pPr>
        <w:pStyle w:val="RDParagraph"/>
        <w:rPr>
          <w:rStyle w:val="RDParagraphChar"/>
        </w:rPr>
      </w:pPr>
      <w:r>
        <w:rPr>
          <w:lang w:val="en-US"/>
        </w:rPr>
        <w:t xml:space="preserve">Business Support </w:t>
      </w:r>
      <w:r w:rsidR="009019C7">
        <w:rPr>
          <w:lang w:val="en-US"/>
        </w:rPr>
        <w:t xml:space="preserve">action </w:t>
      </w:r>
      <w:r>
        <w:rPr>
          <w:lang w:val="en-US"/>
        </w:rPr>
        <w:t xml:space="preserve">and investment </w:t>
      </w:r>
      <w:r w:rsidR="009019C7">
        <w:rPr>
          <w:lang w:val="en-US"/>
        </w:rPr>
        <w:t xml:space="preserve">has a fundamental role to play in establishing </w:t>
      </w:r>
      <w:r w:rsidR="009019C7" w:rsidRPr="00003004">
        <w:rPr>
          <w:rStyle w:val="RDParagraphChar"/>
        </w:rPr>
        <w:t>economic demand and balance within the Royal Docks</w:t>
      </w:r>
      <w:r>
        <w:rPr>
          <w:rStyle w:val="RDParagraphChar"/>
        </w:rPr>
        <w:t>:</w:t>
      </w:r>
      <w:r w:rsidR="009019C7" w:rsidRPr="00003004">
        <w:rPr>
          <w:rStyle w:val="RDParagraphChar"/>
        </w:rPr>
        <w:t xml:space="preserve"> from local services and amenit</w:t>
      </w:r>
      <w:r w:rsidR="00861F7F">
        <w:rPr>
          <w:rStyle w:val="RDParagraphChar"/>
        </w:rPr>
        <w:t>y operators</w:t>
      </w:r>
      <w:r w:rsidR="009019C7" w:rsidRPr="00003004">
        <w:rPr>
          <w:rStyle w:val="RDParagraphChar"/>
        </w:rPr>
        <w:t>,</w:t>
      </w:r>
      <w:r w:rsidR="00861F7F">
        <w:rPr>
          <w:rStyle w:val="RDParagraphChar"/>
        </w:rPr>
        <w:t xml:space="preserve"> </w:t>
      </w:r>
      <w:r w:rsidR="009019C7" w:rsidRPr="00003004">
        <w:rPr>
          <w:rStyle w:val="RDParagraphChar"/>
        </w:rPr>
        <w:t xml:space="preserve">to industry and production, </w:t>
      </w:r>
      <w:r w:rsidR="00861F7F" w:rsidRPr="00003004">
        <w:rPr>
          <w:rStyle w:val="RDParagraphChar"/>
        </w:rPr>
        <w:t xml:space="preserve">to creative enterprise </w:t>
      </w:r>
      <w:r w:rsidR="009019C7" w:rsidRPr="00003004">
        <w:rPr>
          <w:rStyle w:val="RDParagraphChar"/>
        </w:rPr>
        <w:t>and to corporate and institutional anchors. It will help existing residents to establish businesses, support existing businesses to stay and grow, and secure new investment from elsewhere within the UK and globally. It will also support Newham’s community wealth building objectives via the support of stronger business networks and community connections.</w:t>
      </w:r>
    </w:p>
    <w:p w14:paraId="0DDBAD37" w14:textId="6A17EE50" w:rsidR="009019C7" w:rsidRDefault="009019C7" w:rsidP="00003004">
      <w:pPr>
        <w:pStyle w:val="RDParagraph"/>
        <w:rPr>
          <w:lang w:val="en-US"/>
        </w:rPr>
      </w:pPr>
      <w:r>
        <w:rPr>
          <w:lang w:val="en-US"/>
        </w:rPr>
        <w:t xml:space="preserve">Success will be measured in the size and diversity of the local economy; the scale and breadth of global links; the depth and nature of local economic networks; levels of economic output and productivity; and </w:t>
      </w:r>
      <w:r w:rsidR="00593DE8">
        <w:rPr>
          <w:lang w:val="en-US"/>
        </w:rPr>
        <w:t>long-term</w:t>
      </w:r>
      <w:r>
        <w:rPr>
          <w:lang w:val="en-US"/>
        </w:rPr>
        <w:t xml:space="preserve"> economic resilience (measured over multiple decades).   </w:t>
      </w:r>
    </w:p>
    <w:p w14:paraId="57A93456" w14:textId="77777777" w:rsidR="009F7C2E" w:rsidRDefault="009F7C2E" w:rsidP="00003004">
      <w:pPr>
        <w:pStyle w:val="RDTier3"/>
        <w:rPr>
          <w:lang w:val="en-US"/>
        </w:rPr>
      </w:pPr>
      <w:r>
        <w:rPr>
          <w:lang w:val="en-US"/>
        </w:rPr>
        <w:br w:type="page"/>
      </w:r>
    </w:p>
    <w:p w14:paraId="64BF8580" w14:textId="7471843E" w:rsidR="009019C7" w:rsidRDefault="0000585B" w:rsidP="00003004">
      <w:pPr>
        <w:pStyle w:val="RDTier3"/>
        <w:rPr>
          <w:lang w:val="en-US"/>
        </w:rPr>
      </w:pPr>
      <w:r>
        <w:rPr>
          <w:lang w:val="en-US"/>
        </w:rPr>
        <w:lastRenderedPageBreak/>
        <w:t>Immediate Actions</w:t>
      </w:r>
    </w:p>
    <w:p w14:paraId="35DE9DEC" w14:textId="611DA63D" w:rsidR="00E94F92" w:rsidRDefault="00E94F92" w:rsidP="00E94F92">
      <w:pPr>
        <w:pStyle w:val="RDBullet"/>
        <w:numPr>
          <w:ilvl w:val="0"/>
          <w:numId w:val="0"/>
        </w:numPr>
        <w:ind w:left="1040" w:hanging="360"/>
        <w:rPr>
          <w:lang w:val="en-US"/>
        </w:rPr>
      </w:pPr>
      <w:r>
        <w:rPr>
          <w:lang w:val="en-US"/>
        </w:rPr>
        <w:t>Immediate actions for year 1 include:</w:t>
      </w:r>
    </w:p>
    <w:p w14:paraId="7C7DF01A" w14:textId="713FFEE0" w:rsidR="00674E44" w:rsidRDefault="00980692" w:rsidP="00674E44">
      <w:pPr>
        <w:pStyle w:val="RDBullet"/>
      </w:pPr>
      <w:r>
        <w:t>Initial e</w:t>
      </w:r>
      <w:r w:rsidR="00674E44">
        <w:t>vidence</w:t>
      </w:r>
      <w:r>
        <w:t xml:space="preserve"> </w:t>
      </w:r>
      <w:r w:rsidR="00674E44">
        <w:t>/ knowledge /</w:t>
      </w:r>
      <w:r w:rsidR="00615A00">
        <w:t xml:space="preserve"> </w:t>
      </w:r>
      <w:r w:rsidR="00674E44">
        <w:t xml:space="preserve">information building on </w:t>
      </w:r>
      <w:r w:rsidR="00615A00">
        <w:t xml:space="preserve">the local </w:t>
      </w:r>
      <w:r w:rsidR="00674E44">
        <w:t>business base; building knowledge on suppliers and supply chains</w:t>
      </w:r>
    </w:p>
    <w:p w14:paraId="06710EAF" w14:textId="77777777" w:rsidR="00674E44" w:rsidRDefault="00674E44" w:rsidP="00674E44">
      <w:pPr>
        <w:pStyle w:val="RDBullet"/>
      </w:pPr>
      <w:r>
        <w:t>Early engagement – listening and learning; one to one and programme of events</w:t>
      </w:r>
    </w:p>
    <w:p w14:paraId="3A4CFF28" w14:textId="624040A7" w:rsidR="00674E44" w:rsidRDefault="00674E44" w:rsidP="00674E44">
      <w:pPr>
        <w:pStyle w:val="RDBullet"/>
      </w:pPr>
      <w:r>
        <w:t>Development of basic business support signposting tools and information (links to London Growth Hub and wider support)</w:t>
      </w:r>
    </w:p>
    <w:p w14:paraId="36E5621F" w14:textId="7A1DC879" w:rsidR="00674E44" w:rsidRDefault="00674E44" w:rsidP="00674E44">
      <w:pPr>
        <w:pStyle w:val="RDBullet"/>
      </w:pPr>
      <w:r>
        <w:t>Defining engagement plan for subsequent years</w:t>
      </w:r>
      <w:r w:rsidR="00615A00">
        <w:t>,</w:t>
      </w:r>
      <w:r>
        <w:t xml:space="preserve"> inc</w:t>
      </w:r>
      <w:r w:rsidR="00615A00">
        <w:t xml:space="preserve">luding </w:t>
      </w:r>
      <w:r>
        <w:t>outreach into neighbourhoods</w:t>
      </w:r>
    </w:p>
    <w:p w14:paraId="18F208C5" w14:textId="16FE6B0A" w:rsidR="00674E44" w:rsidRDefault="00674E44" w:rsidP="00674E44">
      <w:pPr>
        <w:pStyle w:val="RDBullet"/>
      </w:pPr>
      <w:r>
        <w:t>Business plan for</w:t>
      </w:r>
      <w:r w:rsidR="00615A00">
        <w:t xml:space="preserve"> the G</w:t>
      </w:r>
      <w:r>
        <w:t xml:space="preserve">reen </w:t>
      </w:r>
      <w:r w:rsidR="00615A00">
        <w:t>T</w:t>
      </w:r>
      <w:r>
        <w:t xml:space="preserve">ech </w:t>
      </w:r>
      <w:r w:rsidR="00615A00">
        <w:t>A</w:t>
      </w:r>
      <w:r>
        <w:t xml:space="preserve">ccelerator </w:t>
      </w:r>
      <w:r w:rsidR="00615A00">
        <w:t>P</w:t>
      </w:r>
      <w:r>
        <w:t xml:space="preserve">rogramme </w:t>
      </w:r>
    </w:p>
    <w:p w14:paraId="18472850" w14:textId="660E2791" w:rsidR="00674E44" w:rsidRDefault="00674E44" w:rsidP="00674E44">
      <w:pPr>
        <w:pStyle w:val="RDBullet"/>
      </w:pPr>
      <w:r>
        <w:t xml:space="preserve">Business plan for </w:t>
      </w:r>
      <w:r w:rsidR="00615A00">
        <w:t>the L</w:t>
      </w:r>
      <w:r>
        <w:t xml:space="preserve">oan </w:t>
      </w:r>
      <w:r w:rsidR="00615A00">
        <w:t>F</w:t>
      </w:r>
      <w:r>
        <w:t>und</w:t>
      </w:r>
    </w:p>
    <w:p w14:paraId="7CE2481F" w14:textId="412424A1" w:rsidR="00674E44" w:rsidRDefault="00674E44" w:rsidP="00674E44">
      <w:pPr>
        <w:pStyle w:val="RDBullet"/>
      </w:pPr>
      <w:r>
        <w:t xml:space="preserve">Early coordination with Newham and other </w:t>
      </w:r>
      <w:r w:rsidR="00055A6A">
        <w:t>Royal Docks team</w:t>
      </w:r>
      <w:r>
        <w:t xml:space="preserve"> members on </w:t>
      </w:r>
      <w:r w:rsidR="00055A6A">
        <w:t xml:space="preserve">the </w:t>
      </w:r>
      <w:r>
        <w:t>Workspace Strategy and evolution of Workplace (building in cross cutting links)</w:t>
      </w:r>
    </w:p>
    <w:p w14:paraId="0FF5BCE8" w14:textId="77777777" w:rsidR="00674E44" w:rsidRDefault="00674E44" w:rsidP="00674E44">
      <w:pPr>
        <w:pStyle w:val="RDBullet"/>
      </w:pPr>
      <w:r>
        <w:t>Continued work with London and Partners to understand and develop scope for global inward investment activities and place marketing</w:t>
      </w:r>
    </w:p>
    <w:p w14:paraId="615CDCA2" w14:textId="4B7B344A" w:rsidR="00674E44" w:rsidRDefault="00674E44" w:rsidP="00674E44">
      <w:pPr>
        <w:pStyle w:val="RDBullet"/>
      </w:pPr>
      <w:r>
        <w:t>Scoping of ‘after care’ support package / programme – inc</w:t>
      </w:r>
      <w:r w:rsidR="00341583">
        <w:t>luding the</w:t>
      </w:r>
      <w:r>
        <w:t xml:space="preserve"> case for future specialist resource</w:t>
      </w:r>
    </w:p>
    <w:p w14:paraId="42891036" w14:textId="32102781" w:rsidR="00674E44" w:rsidRDefault="00341583" w:rsidP="00674E44">
      <w:pPr>
        <w:pStyle w:val="RDParagraph"/>
      </w:pPr>
      <w:r>
        <w:t>Beyond this, the focus for y</w:t>
      </w:r>
      <w:r w:rsidR="00674E44">
        <w:t>ear 2</w:t>
      </w:r>
      <w:r>
        <w:t xml:space="preserve"> would be</w:t>
      </w:r>
      <w:r w:rsidR="00674E44">
        <w:t xml:space="preserve"> ongoing delivery</w:t>
      </w:r>
      <w:r>
        <w:t>,</w:t>
      </w:r>
      <w:r w:rsidR="00674E44">
        <w:t xml:space="preserve"> building on </w:t>
      </w:r>
      <w:r>
        <w:t xml:space="preserve">the </w:t>
      </w:r>
      <w:r w:rsidR="00674E44">
        <w:t>actions identified in year 1. In addition</w:t>
      </w:r>
      <w:r>
        <w:t>,</w:t>
      </w:r>
      <w:r w:rsidR="00674E44">
        <w:t xml:space="preserve"> more proactive outreach work to target enterprise and participation within Newham Neighbourhoods</w:t>
      </w:r>
      <w:r>
        <w:t>.</w:t>
      </w:r>
    </w:p>
    <w:p w14:paraId="1D76A296" w14:textId="6C012628" w:rsidR="00B371A0" w:rsidRPr="00595D2C" w:rsidRDefault="006D5C25" w:rsidP="00B371A0">
      <w:pPr>
        <w:pStyle w:val="RDTier2"/>
        <w:ind w:left="0" w:firstLine="680"/>
        <w:rPr>
          <w:i/>
          <w:sz w:val="22"/>
          <w:lang w:val="en-US"/>
        </w:rPr>
      </w:pPr>
      <w:r>
        <w:br w:type="page"/>
      </w:r>
      <w:r w:rsidR="00B371A0" w:rsidRPr="00595D2C">
        <w:rPr>
          <w:i/>
          <w:sz w:val="22"/>
          <w:lang w:val="en-US"/>
        </w:rPr>
        <w:lastRenderedPageBreak/>
        <w:t>Table 4.</w:t>
      </w:r>
      <w:r w:rsidR="00B371A0">
        <w:rPr>
          <w:i/>
          <w:sz w:val="22"/>
          <w:lang w:val="en-US"/>
        </w:rPr>
        <w:t>4</w:t>
      </w:r>
      <w:r w:rsidR="00B371A0" w:rsidRPr="00595D2C">
        <w:rPr>
          <w:i/>
          <w:sz w:val="22"/>
          <w:lang w:val="en-US"/>
        </w:rPr>
        <w:t xml:space="preserve">: </w:t>
      </w:r>
      <w:r w:rsidR="00B371A0">
        <w:rPr>
          <w:i/>
          <w:sz w:val="22"/>
          <w:lang w:val="en-US"/>
        </w:rPr>
        <w:t>Building the Economy: Inspiration and Precedents</w:t>
      </w:r>
    </w:p>
    <w:tbl>
      <w:tblPr>
        <w:tblW w:w="8338" w:type="dxa"/>
        <w:tblInd w:w="709" w:type="dxa"/>
        <w:tblLayout w:type="fixed"/>
        <w:tblCellMar>
          <w:left w:w="0" w:type="dxa"/>
          <w:right w:w="0" w:type="dxa"/>
        </w:tblCellMar>
        <w:tblLook w:val="0420" w:firstRow="1" w:lastRow="0" w:firstColumn="0" w:lastColumn="0" w:noHBand="0" w:noVBand="1"/>
      </w:tblPr>
      <w:tblGrid>
        <w:gridCol w:w="1900"/>
        <w:gridCol w:w="6438"/>
      </w:tblGrid>
      <w:tr w:rsidR="00B371A0" w:rsidRPr="00F72A73" w14:paraId="402252D9" w14:textId="77777777" w:rsidTr="00FA3139">
        <w:trPr>
          <w:trHeight w:val="243"/>
        </w:trPr>
        <w:tc>
          <w:tcPr>
            <w:tcW w:w="1900" w:type="dxa"/>
            <w:tcBorders>
              <w:top w:val="single" w:sz="18" w:space="0" w:color="08445E" w:themeColor="accent2"/>
              <w:left w:val="nil"/>
              <w:bottom w:val="single" w:sz="18" w:space="0" w:color="08445E" w:themeColor="accent2"/>
              <w:right w:val="nil"/>
            </w:tcBorders>
            <w:shd w:val="clear" w:color="auto" w:fill="E9E9EA"/>
            <w:tcMar>
              <w:top w:w="72" w:type="dxa"/>
              <w:left w:w="144" w:type="dxa"/>
              <w:bottom w:w="72" w:type="dxa"/>
              <w:right w:w="144" w:type="dxa"/>
            </w:tcMar>
            <w:vAlign w:val="center"/>
          </w:tcPr>
          <w:p w14:paraId="6B48142E" w14:textId="77777777" w:rsidR="00B371A0" w:rsidRPr="00F72A73" w:rsidRDefault="00B371A0" w:rsidP="00FA3139">
            <w:pPr>
              <w:pStyle w:val="TableTitleInTable"/>
              <w:jc w:val="center"/>
            </w:pPr>
            <w:r w:rsidRPr="004E2E89">
              <w:rPr>
                <w:color w:val="FF5000" w:themeColor="accent6"/>
              </w:rPr>
              <w:t>Example</w:t>
            </w:r>
          </w:p>
        </w:tc>
        <w:tc>
          <w:tcPr>
            <w:tcW w:w="6438" w:type="dxa"/>
            <w:tcBorders>
              <w:top w:val="single" w:sz="18" w:space="0" w:color="08445E" w:themeColor="accent2"/>
              <w:left w:val="nil"/>
              <w:bottom w:val="single" w:sz="18" w:space="0" w:color="08445E" w:themeColor="accent2"/>
              <w:right w:val="nil"/>
            </w:tcBorders>
            <w:shd w:val="clear" w:color="auto" w:fill="E9E9EA"/>
          </w:tcPr>
          <w:p w14:paraId="473B11AF" w14:textId="77777777" w:rsidR="00B371A0" w:rsidRPr="00132E00" w:rsidRDefault="00B371A0" w:rsidP="00FA3139">
            <w:pPr>
              <w:pStyle w:val="TableTitleInTable"/>
              <w:jc w:val="center"/>
              <w:rPr>
                <w:color w:val="FF5000" w:themeColor="accent6"/>
              </w:rPr>
            </w:pPr>
            <w:r>
              <w:rPr>
                <w:color w:val="FF5000" w:themeColor="accent6"/>
              </w:rPr>
              <w:t>Summary and Relevance</w:t>
            </w:r>
          </w:p>
        </w:tc>
      </w:tr>
      <w:tr w:rsidR="00B371A0" w:rsidRPr="00F72A73" w14:paraId="13DE5FA1" w14:textId="77777777" w:rsidTr="00FA3139">
        <w:trPr>
          <w:trHeight w:val="243"/>
        </w:trPr>
        <w:tc>
          <w:tcPr>
            <w:tcW w:w="1900" w:type="dxa"/>
            <w:tcBorders>
              <w:top w:val="single" w:sz="18" w:space="0" w:color="08445E" w:themeColor="accent2"/>
              <w:left w:val="nil"/>
              <w:bottom w:val="single" w:sz="8" w:space="0" w:color="FF5000" w:themeColor="accent6"/>
              <w:right w:val="nil"/>
            </w:tcBorders>
            <w:shd w:val="clear" w:color="auto" w:fill="E9E9EA"/>
            <w:tcMar>
              <w:top w:w="72" w:type="dxa"/>
              <w:left w:w="144" w:type="dxa"/>
              <w:bottom w:w="72" w:type="dxa"/>
              <w:right w:w="144" w:type="dxa"/>
            </w:tcMar>
            <w:vAlign w:val="center"/>
          </w:tcPr>
          <w:p w14:paraId="7FD1145D" w14:textId="29626CC1" w:rsidR="00B371A0" w:rsidRPr="00004521" w:rsidRDefault="002069AF" w:rsidP="00FA3139">
            <w:pPr>
              <w:pStyle w:val="TableTitleInTable"/>
              <w:rPr>
                <w:rFonts w:ascii="Source Sans Pro" w:eastAsia="Yu Gothic UI" w:hAnsi="Source Sans Pro"/>
                <w:b/>
                <w:bCs/>
                <w:color w:val="052D3F" w:themeColor="accent1"/>
                <w:szCs w:val="44"/>
                <w:lang w:val="en-US"/>
              </w:rPr>
            </w:pPr>
            <w:r w:rsidRPr="002069AF">
              <w:rPr>
                <w:rFonts w:ascii="Source Sans Pro" w:eastAsia="Yu Gothic UI" w:hAnsi="Source Sans Pro"/>
                <w:b/>
                <w:bCs/>
                <w:color w:val="052D3F" w:themeColor="accent1"/>
                <w:szCs w:val="44"/>
              </w:rPr>
              <w:t>Incredibol Bologna</w:t>
            </w:r>
          </w:p>
        </w:tc>
        <w:tc>
          <w:tcPr>
            <w:tcW w:w="6438" w:type="dxa"/>
            <w:tcBorders>
              <w:top w:val="single" w:sz="18" w:space="0" w:color="08445E" w:themeColor="accent2"/>
              <w:left w:val="nil"/>
              <w:bottom w:val="single" w:sz="8" w:space="0" w:color="FF5000" w:themeColor="accent6"/>
              <w:right w:val="nil"/>
            </w:tcBorders>
            <w:shd w:val="clear" w:color="auto" w:fill="E9E9EA"/>
            <w:vAlign w:val="center"/>
          </w:tcPr>
          <w:p w14:paraId="1D8E48FE" w14:textId="3EC763DF" w:rsidR="002069AF" w:rsidRPr="002069AF" w:rsidRDefault="002069AF" w:rsidP="002069AF">
            <w:pPr>
              <w:pStyle w:val="TableTitleInTable"/>
              <w:rPr>
                <w:rFonts w:ascii="Source Sans Pro" w:eastAsia="Yu Gothic UI" w:hAnsi="Source Sans Pro"/>
                <w:bCs/>
                <w:color w:val="052D3F"/>
                <w:szCs w:val="44"/>
                <w:lang w:val="en-US"/>
              </w:rPr>
            </w:pPr>
            <w:r w:rsidRPr="002069AF">
              <w:rPr>
                <w:rFonts w:ascii="Source Sans Pro" w:eastAsia="Yu Gothic UI" w:hAnsi="Source Sans Pro"/>
                <w:bCs/>
                <w:noProof/>
                <w:color w:val="052D3F"/>
                <w:szCs w:val="44"/>
              </w:rPr>
              <w:drawing>
                <wp:anchor distT="0" distB="0" distL="114300" distR="114300" simplePos="0" relativeHeight="251658255" behindDoc="1" locked="0" layoutInCell="1" allowOverlap="1" wp14:anchorId="64E03220" wp14:editId="65F675C0">
                  <wp:simplePos x="0" y="0"/>
                  <wp:positionH relativeFrom="column">
                    <wp:posOffset>2581275</wp:posOffset>
                  </wp:positionH>
                  <wp:positionV relativeFrom="paragraph">
                    <wp:posOffset>590550</wp:posOffset>
                  </wp:positionV>
                  <wp:extent cx="1358900" cy="1276350"/>
                  <wp:effectExtent l="0" t="0" r="0" b="0"/>
                  <wp:wrapSquare wrapText="bothSides"/>
                  <wp:docPr id="6" name="Picture 5">
                    <a:extLst xmlns:a="http://schemas.openxmlformats.org/drawingml/2006/main">
                      <a:ext uri="{FF2B5EF4-FFF2-40B4-BE49-F238E27FC236}">
                        <a16:creationId xmlns:a16="http://schemas.microsoft.com/office/drawing/2014/main" id="{68C27C94-69EC-4C62-B0C2-06C4AA681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8C27C94-69EC-4C62-B0C2-06C4AA681338}"/>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8900" cy="1276350"/>
                          </a:xfrm>
                          <a:prstGeom prst="rect">
                            <a:avLst/>
                          </a:prstGeom>
                        </pic:spPr>
                      </pic:pic>
                    </a:graphicData>
                  </a:graphic>
                  <wp14:sizeRelH relativeFrom="page">
                    <wp14:pctWidth>0</wp14:pctWidth>
                  </wp14:sizeRelH>
                  <wp14:sizeRelV relativeFrom="page">
                    <wp14:pctHeight>0</wp14:pctHeight>
                  </wp14:sizeRelV>
                </wp:anchor>
              </w:drawing>
            </w:r>
            <w:r w:rsidRPr="002069AF">
              <w:rPr>
                <w:rFonts w:ascii="Source Sans Pro" w:eastAsia="Yu Gothic UI" w:hAnsi="Source Sans Pro"/>
                <w:bCs/>
                <w:color w:val="052D3F"/>
                <w:szCs w:val="44"/>
                <w:lang w:val="en-US"/>
              </w:rPr>
              <w:t>Each year it invites applications to participate in a 4 year business support programme. Businesses form a cohort with access to a network  (including university, Academy of Fine Arts, Chamber of Commerce, entrepreneurs, consultants, incubators, training providers) which offer free services to cohort. Companies and entrepreneurs get ongoing  support and subsidized space, with a focus on peer to peer support. Legacy support and access to finance is offered at the end of the programme</w:t>
            </w:r>
            <w:r>
              <w:rPr>
                <w:rFonts w:ascii="Source Sans Pro" w:eastAsia="Yu Gothic UI" w:hAnsi="Source Sans Pro"/>
                <w:bCs/>
                <w:color w:val="052D3F"/>
                <w:szCs w:val="44"/>
                <w:lang w:val="en-US"/>
              </w:rPr>
              <w:t xml:space="preserve"> </w:t>
            </w:r>
          </w:p>
          <w:p w14:paraId="13072335" w14:textId="6B2FA308" w:rsidR="00B371A0" w:rsidRPr="002069AF" w:rsidRDefault="00B371A0" w:rsidP="00FA3139">
            <w:pPr>
              <w:pStyle w:val="TableTitleInTable"/>
              <w:jc w:val="both"/>
              <w:rPr>
                <w:rFonts w:ascii="Source Sans Pro" w:eastAsia="Yu Gothic UI" w:hAnsi="Source Sans Pro"/>
                <w:bCs/>
                <w:color w:val="052D3F"/>
                <w:szCs w:val="44"/>
                <w:lang w:val="en-US"/>
              </w:rPr>
            </w:pPr>
          </w:p>
        </w:tc>
      </w:tr>
      <w:tr w:rsidR="00B371A0" w:rsidRPr="00F72A73" w14:paraId="7BD068CB" w14:textId="77777777" w:rsidTr="00FA3139">
        <w:trPr>
          <w:trHeight w:val="243"/>
        </w:trPr>
        <w:tc>
          <w:tcPr>
            <w:tcW w:w="190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55075FE1" w14:textId="101EE199" w:rsidR="00B371A0" w:rsidRPr="00004521" w:rsidRDefault="008D1699" w:rsidP="00FA3139">
            <w:pPr>
              <w:pStyle w:val="TableTitleInTable"/>
              <w:rPr>
                <w:rFonts w:ascii="Source Sans Pro" w:eastAsia="Yu Gothic UI" w:hAnsi="Source Sans Pro"/>
                <w:b/>
                <w:bCs/>
                <w:color w:val="052D3F" w:themeColor="accent1"/>
                <w:szCs w:val="44"/>
                <w:lang w:val="en-US"/>
              </w:rPr>
            </w:pPr>
            <w:r w:rsidRPr="008D1699">
              <w:rPr>
                <w:rFonts w:ascii="Source Sans Pro" w:eastAsia="Yu Gothic UI" w:hAnsi="Source Sans Pro"/>
                <w:b/>
                <w:bCs/>
                <w:color w:val="052D3F" w:themeColor="accent1"/>
                <w:szCs w:val="44"/>
              </w:rPr>
              <w:t>Power to Change</w:t>
            </w:r>
          </w:p>
        </w:tc>
        <w:tc>
          <w:tcPr>
            <w:tcW w:w="6438" w:type="dxa"/>
            <w:tcBorders>
              <w:top w:val="single" w:sz="8" w:space="0" w:color="FF5000" w:themeColor="accent6"/>
              <w:left w:val="nil"/>
              <w:bottom w:val="single" w:sz="8" w:space="0" w:color="FF5000" w:themeColor="accent6"/>
              <w:right w:val="nil"/>
            </w:tcBorders>
            <w:vAlign w:val="center"/>
          </w:tcPr>
          <w:p w14:paraId="16F62404" w14:textId="1765DEC6" w:rsidR="00B371A0" w:rsidRPr="0006591F" w:rsidRDefault="008D1699" w:rsidP="008D1699">
            <w:pPr>
              <w:pStyle w:val="TableTitleInTable"/>
              <w:rPr>
                <w:rFonts w:ascii="Source Sans Pro" w:eastAsia="Yu Gothic UI" w:hAnsi="Source Sans Pro"/>
                <w:bCs/>
                <w:color w:val="052D3F"/>
                <w:szCs w:val="44"/>
                <w:lang w:val="en-US"/>
              </w:rPr>
            </w:pPr>
            <w:r w:rsidRPr="008D1699">
              <w:rPr>
                <w:rFonts w:ascii="Source Sans Pro" w:eastAsia="Yu Gothic UI" w:hAnsi="Source Sans Pro"/>
                <w:bCs/>
                <w:noProof/>
                <w:color w:val="052D3F"/>
                <w:szCs w:val="44"/>
              </w:rPr>
              <w:drawing>
                <wp:anchor distT="0" distB="0" distL="114300" distR="114300" simplePos="0" relativeHeight="251658256" behindDoc="0" locked="0" layoutInCell="1" allowOverlap="1" wp14:anchorId="0F062C8B" wp14:editId="3BA2492A">
                  <wp:simplePos x="0" y="0"/>
                  <wp:positionH relativeFrom="column">
                    <wp:posOffset>1454150</wp:posOffset>
                  </wp:positionH>
                  <wp:positionV relativeFrom="paragraph">
                    <wp:posOffset>685165</wp:posOffset>
                  </wp:positionV>
                  <wp:extent cx="2486025" cy="676275"/>
                  <wp:effectExtent l="0" t="0" r="9525" b="9525"/>
                  <wp:wrapSquare wrapText="bothSides"/>
                  <wp:docPr id="16" name="Picture 15">
                    <a:extLst xmlns:a="http://schemas.openxmlformats.org/drawingml/2006/main">
                      <a:ext uri="{FF2B5EF4-FFF2-40B4-BE49-F238E27FC236}">
                        <a16:creationId xmlns:a16="http://schemas.microsoft.com/office/drawing/2014/main" id="{1B8FE9D2-B679-461A-8203-B9B91FD497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1B8FE9D2-B679-461A-8203-B9B91FD49703}"/>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486025" cy="676275"/>
                          </a:xfrm>
                          <a:prstGeom prst="rect">
                            <a:avLst/>
                          </a:prstGeom>
                        </pic:spPr>
                      </pic:pic>
                    </a:graphicData>
                  </a:graphic>
                  <wp14:sizeRelH relativeFrom="page">
                    <wp14:pctWidth>0</wp14:pctWidth>
                  </wp14:sizeRelH>
                  <wp14:sizeRelV relativeFrom="page">
                    <wp14:pctHeight>0</wp14:pctHeight>
                  </wp14:sizeRelV>
                </wp:anchor>
              </w:drawing>
            </w:r>
            <w:r w:rsidRPr="008D1699">
              <w:rPr>
                <w:rFonts w:ascii="Source Sans Pro" w:eastAsia="Yu Gothic UI" w:hAnsi="Source Sans Pro"/>
                <w:bCs/>
                <w:color w:val="052D3F"/>
                <w:szCs w:val="44"/>
              </w:rPr>
              <w:t>P</w:t>
            </w:r>
            <w:r w:rsidRPr="008D1699">
              <w:rPr>
                <w:rFonts w:ascii="Source Sans Pro" w:eastAsia="Yu Gothic UI" w:hAnsi="Source Sans Pro"/>
                <w:bCs/>
                <w:color w:val="052D3F"/>
                <w:szCs w:val="44"/>
                <w:lang w:val="en-US"/>
              </w:rPr>
              <w:t>ower to Change is £150m fund set up by government to support community businesses to establish and grow. Community Businesses are trading companies run by local people for their own benefit. This can include community transport, local pubs, zero waste shops, leisure facilities etc</w:t>
            </w:r>
            <w:r w:rsidRPr="008D1699">
              <w:rPr>
                <w:noProof/>
              </w:rPr>
              <w:t xml:space="preserve"> </w:t>
            </w:r>
          </w:p>
        </w:tc>
      </w:tr>
      <w:tr w:rsidR="00B371A0" w:rsidRPr="00F72A73" w14:paraId="1771F2A4" w14:textId="77777777" w:rsidTr="00FA3139">
        <w:trPr>
          <w:trHeight w:val="243"/>
        </w:trPr>
        <w:tc>
          <w:tcPr>
            <w:tcW w:w="1900" w:type="dxa"/>
            <w:tcBorders>
              <w:top w:val="single" w:sz="8" w:space="0" w:color="FF5000" w:themeColor="accent6"/>
              <w:left w:val="nil"/>
              <w:bottom w:val="single" w:sz="8" w:space="0" w:color="FF5000" w:themeColor="accent6"/>
              <w:right w:val="nil"/>
            </w:tcBorders>
            <w:shd w:val="clear" w:color="auto" w:fill="E9E9EA"/>
            <w:tcMar>
              <w:top w:w="72" w:type="dxa"/>
              <w:left w:w="144" w:type="dxa"/>
              <w:bottom w:w="72" w:type="dxa"/>
              <w:right w:w="144" w:type="dxa"/>
            </w:tcMar>
            <w:vAlign w:val="center"/>
          </w:tcPr>
          <w:p w14:paraId="05512E8F" w14:textId="461CCD64" w:rsidR="00B371A0" w:rsidRPr="00004521" w:rsidRDefault="00BD0540" w:rsidP="00FA3139">
            <w:pPr>
              <w:pStyle w:val="TableTitleInTable"/>
              <w:rPr>
                <w:rFonts w:ascii="Source Sans Pro" w:eastAsia="Yu Gothic UI" w:hAnsi="Source Sans Pro"/>
                <w:b/>
                <w:bCs/>
                <w:color w:val="052D3F" w:themeColor="accent1"/>
                <w:szCs w:val="44"/>
                <w:lang w:val="en-US"/>
              </w:rPr>
            </w:pPr>
            <w:r w:rsidRPr="00BD0540">
              <w:rPr>
                <w:rFonts w:ascii="Source Sans Pro" w:eastAsia="Yu Gothic UI" w:hAnsi="Source Sans Pro"/>
                <w:b/>
                <w:bCs/>
                <w:color w:val="052D3F" w:themeColor="accent1"/>
                <w:szCs w:val="44"/>
              </w:rPr>
              <w:t>Atlanta FDI and Aftercare</w:t>
            </w:r>
          </w:p>
        </w:tc>
        <w:tc>
          <w:tcPr>
            <w:tcW w:w="6438" w:type="dxa"/>
            <w:tcBorders>
              <w:top w:val="single" w:sz="8" w:space="0" w:color="FF5000" w:themeColor="accent6"/>
              <w:left w:val="nil"/>
              <w:bottom w:val="single" w:sz="8" w:space="0" w:color="FF5000" w:themeColor="accent6"/>
              <w:right w:val="nil"/>
            </w:tcBorders>
            <w:shd w:val="clear" w:color="auto" w:fill="E9E9EA"/>
            <w:vAlign w:val="center"/>
          </w:tcPr>
          <w:p w14:paraId="1673CC57" w14:textId="2BA11CA3" w:rsidR="00B371A0" w:rsidRPr="00143B28" w:rsidRDefault="00BD0540" w:rsidP="00BD0540">
            <w:pPr>
              <w:pStyle w:val="TableTitleInTable"/>
              <w:rPr>
                <w:rFonts w:ascii="Source Sans Pro" w:eastAsia="Yu Gothic UI" w:hAnsi="Source Sans Pro"/>
                <w:bCs/>
                <w:color w:val="052D3F"/>
                <w:szCs w:val="44"/>
                <w:lang w:val="en-US"/>
              </w:rPr>
            </w:pPr>
            <w:r w:rsidRPr="00BD0540">
              <w:rPr>
                <w:rFonts w:ascii="Source Sans Pro" w:eastAsia="Yu Gothic UI" w:hAnsi="Source Sans Pro"/>
                <w:bCs/>
                <w:noProof/>
                <w:color w:val="052D3F"/>
                <w:szCs w:val="44"/>
              </w:rPr>
              <w:drawing>
                <wp:anchor distT="0" distB="0" distL="114300" distR="114300" simplePos="0" relativeHeight="251658257" behindDoc="0" locked="0" layoutInCell="1" allowOverlap="1" wp14:anchorId="34D87AAA" wp14:editId="40A55C86">
                  <wp:simplePos x="0" y="0"/>
                  <wp:positionH relativeFrom="column">
                    <wp:posOffset>2581275</wp:posOffset>
                  </wp:positionH>
                  <wp:positionV relativeFrom="paragraph">
                    <wp:posOffset>211455</wp:posOffset>
                  </wp:positionV>
                  <wp:extent cx="1287145" cy="1698625"/>
                  <wp:effectExtent l="0" t="0" r="8255" b="0"/>
                  <wp:wrapSquare wrapText="bothSides"/>
                  <wp:docPr id="3" name="Picture 2">
                    <a:extLst xmlns:a="http://schemas.openxmlformats.org/drawingml/2006/main">
                      <a:ext uri="{FF2B5EF4-FFF2-40B4-BE49-F238E27FC236}">
                        <a16:creationId xmlns:a16="http://schemas.microsoft.com/office/drawing/2014/main" id="{8BCF2B5A-BBC1-4161-BEF4-203A9241E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BCF2B5A-BBC1-4161-BEF4-203A9241EB7A}"/>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87145" cy="1698625"/>
                          </a:xfrm>
                          <a:prstGeom prst="rect">
                            <a:avLst/>
                          </a:prstGeom>
                        </pic:spPr>
                      </pic:pic>
                    </a:graphicData>
                  </a:graphic>
                  <wp14:sizeRelH relativeFrom="page">
                    <wp14:pctWidth>0</wp14:pctWidth>
                  </wp14:sizeRelH>
                  <wp14:sizeRelV relativeFrom="page">
                    <wp14:pctHeight>0</wp14:pctHeight>
                  </wp14:sizeRelV>
                </wp:anchor>
              </w:drawing>
            </w:r>
            <w:r w:rsidRPr="00BD0540">
              <w:rPr>
                <w:rFonts w:ascii="Source Sans Pro" w:eastAsia="Yu Gothic UI" w:hAnsi="Source Sans Pro"/>
                <w:bCs/>
                <w:color w:val="052D3F"/>
                <w:szCs w:val="44"/>
                <w:lang w:val="en-US"/>
              </w:rPr>
              <w:t>Atlanta have focused their business support and FDI budgets on creating an offer which provides ongoing support for companies. This “Welcome Network” engages new international arrivals. It uses a service provider directory to routini</w:t>
            </w:r>
            <w:r w:rsidR="00802947">
              <w:rPr>
                <w:rFonts w:ascii="Source Sans Pro" w:eastAsia="Yu Gothic UI" w:hAnsi="Source Sans Pro"/>
                <w:bCs/>
                <w:color w:val="052D3F"/>
                <w:szCs w:val="44"/>
                <w:lang w:val="en-US"/>
              </w:rPr>
              <w:t>s</w:t>
            </w:r>
            <w:r w:rsidRPr="00BD0540">
              <w:rPr>
                <w:rFonts w:ascii="Source Sans Pro" w:eastAsia="Yu Gothic UI" w:hAnsi="Source Sans Pro"/>
                <w:bCs/>
                <w:color w:val="052D3F"/>
                <w:szCs w:val="44"/>
                <w:lang w:val="en-US"/>
              </w:rPr>
              <w:t>e contact, and set goals for ongoing contact with companies.</w:t>
            </w:r>
            <w:r>
              <w:rPr>
                <w:rFonts w:ascii="Source Sans Pro" w:eastAsia="Yu Gothic UI" w:hAnsi="Source Sans Pro"/>
                <w:bCs/>
                <w:color w:val="052D3F"/>
                <w:szCs w:val="44"/>
                <w:lang w:val="en-US"/>
              </w:rPr>
              <w:t xml:space="preserve"> </w:t>
            </w:r>
            <w:r w:rsidRPr="00BD0540">
              <w:rPr>
                <w:rFonts w:ascii="Source Sans Pro" w:eastAsia="Yu Gothic UI" w:hAnsi="Source Sans Pro"/>
                <w:bCs/>
                <w:color w:val="052D3F"/>
                <w:szCs w:val="44"/>
                <w:lang w:val="en-US"/>
              </w:rPr>
              <w:t>The city has focused on selling its diverse population as a positive attractor for global SMEs</w:t>
            </w:r>
            <w:r w:rsidR="00B371A0" w:rsidRPr="00143B28">
              <w:rPr>
                <w:rFonts w:ascii="Source Sans Pro" w:eastAsia="Yu Gothic UI" w:hAnsi="Source Sans Pro"/>
                <w:bCs/>
                <w:color w:val="052D3F"/>
                <w:szCs w:val="44"/>
              </w:rPr>
              <w:t>,</w:t>
            </w:r>
            <w:r>
              <w:rPr>
                <w:rFonts w:ascii="Source Sans Pro" w:eastAsia="Yu Gothic UI" w:hAnsi="Source Sans Pro"/>
                <w:bCs/>
                <w:color w:val="052D3F"/>
                <w:szCs w:val="44"/>
              </w:rPr>
              <w:t xml:space="preserve"> </w:t>
            </w:r>
            <w:r w:rsidR="00B371A0" w:rsidRPr="00160CE5">
              <w:rPr>
                <w:noProof/>
              </w:rPr>
              <w:t xml:space="preserve"> </w:t>
            </w:r>
          </w:p>
          <w:p w14:paraId="7372D568" w14:textId="77777777" w:rsidR="00B371A0" w:rsidRPr="00143B28" w:rsidRDefault="00B371A0" w:rsidP="00FA3139">
            <w:pPr>
              <w:pStyle w:val="TableTitleInTable"/>
              <w:jc w:val="both"/>
              <w:rPr>
                <w:rFonts w:ascii="Source Sans Pro" w:eastAsia="Yu Gothic UI" w:hAnsi="Source Sans Pro"/>
                <w:bCs/>
                <w:color w:val="052D3F"/>
                <w:szCs w:val="44"/>
                <w:lang w:val="en-US"/>
              </w:rPr>
            </w:pPr>
          </w:p>
        </w:tc>
      </w:tr>
      <w:tr w:rsidR="00802947" w:rsidRPr="00F72A73" w14:paraId="0861C8B1" w14:textId="77777777" w:rsidTr="00FA3139">
        <w:trPr>
          <w:trHeight w:val="243"/>
        </w:trPr>
        <w:tc>
          <w:tcPr>
            <w:tcW w:w="1900" w:type="dxa"/>
            <w:tcBorders>
              <w:top w:val="single" w:sz="8" w:space="0" w:color="FF5000" w:themeColor="accent6"/>
              <w:left w:val="nil"/>
              <w:bottom w:val="single" w:sz="8" w:space="0" w:color="FF5000" w:themeColor="accent6"/>
              <w:right w:val="nil"/>
            </w:tcBorders>
            <w:shd w:val="clear" w:color="auto" w:fill="E9E9EA"/>
            <w:tcMar>
              <w:top w:w="72" w:type="dxa"/>
              <w:left w:w="144" w:type="dxa"/>
              <w:bottom w:w="72" w:type="dxa"/>
              <w:right w:w="144" w:type="dxa"/>
            </w:tcMar>
            <w:vAlign w:val="center"/>
          </w:tcPr>
          <w:p w14:paraId="23DA784D" w14:textId="3E85DA3B" w:rsidR="00802947" w:rsidRPr="00BD0540" w:rsidRDefault="00ED56FE" w:rsidP="00FA3139">
            <w:pPr>
              <w:pStyle w:val="TableTitleInTable"/>
              <w:rPr>
                <w:rFonts w:ascii="Source Sans Pro" w:eastAsia="Yu Gothic UI" w:hAnsi="Source Sans Pro"/>
                <w:b/>
                <w:bCs/>
                <w:color w:val="052D3F" w:themeColor="accent1"/>
                <w:szCs w:val="44"/>
              </w:rPr>
            </w:pPr>
            <w:r w:rsidRPr="00ED56FE">
              <w:rPr>
                <w:rFonts w:ascii="Source Sans Pro" w:eastAsia="Yu Gothic UI" w:hAnsi="Source Sans Pro"/>
                <w:b/>
                <w:bCs/>
                <w:color w:val="052D3F" w:themeColor="accent1"/>
                <w:szCs w:val="44"/>
              </w:rPr>
              <w:t>Bethnal Green Ventures Tech for Good Pro</w:t>
            </w:r>
            <w:r w:rsidR="000D63E9">
              <w:rPr>
                <w:rFonts w:ascii="Source Sans Pro" w:eastAsia="Yu Gothic UI" w:hAnsi="Source Sans Pro"/>
                <w:b/>
                <w:bCs/>
                <w:color w:val="052D3F" w:themeColor="accent1"/>
                <w:szCs w:val="44"/>
              </w:rPr>
              <w:t>g</w:t>
            </w:r>
            <w:r w:rsidRPr="00ED56FE">
              <w:rPr>
                <w:rFonts w:ascii="Source Sans Pro" w:eastAsia="Yu Gothic UI" w:hAnsi="Source Sans Pro"/>
                <w:b/>
                <w:bCs/>
                <w:color w:val="052D3F" w:themeColor="accent1"/>
                <w:szCs w:val="44"/>
              </w:rPr>
              <w:t>ramme</w:t>
            </w:r>
          </w:p>
        </w:tc>
        <w:tc>
          <w:tcPr>
            <w:tcW w:w="6438" w:type="dxa"/>
            <w:tcBorders>
              <w:top w:val="single" w:sz="8" w:space="0" w:color="FF5000" w:themeColor="accent6"/>
              <w:left w:val="nil"/>
              <w:bottom w:val="single" w:sz="8" w:space="0" w:color="FF5000" w:themeColor="accent6"/>
              <w:right w:val="nil"/>
            </w:tcBorders>
            <w:shd w:val="clear" w:color="auto" w:fill="E9E9EA"/>
            <w:vAlign w:val="center"/>
          </w:tcPr>
          <w:p w14:paraId="0F45EB55" w14:textId="3C635537" w:rsidR="00802947" w:rsidRPr="00BD0540" w:rsidRDefault="00802947" w:rsidP="00802947">
            <w:pPr>
              <w:pStyle w:val="TableTitleInTable"/>
              <w:rPr>
                <w:rFonts w:ascii="Source Sans Pro" w:eastAsia="Yu Gothic UI" w:hAnsi="Source Sans Pro"/>
                <w:bCs/>
                <w:noProof/>
                <w:color w:val="052D3F"/>
                <w:szCs w:val="44"/>
              </w:rPr>
            </w:pPr>
            <w:r w:rsidRPr="00802947">
              <w:rPr>
                <w:rFonts w:ascii="Source Sans Pro" w:eastAsia="Yu Gothic UI" w:hAnsi="Source Sans Pro"/>
                <w:bCs/>
                <w:noProof/>
                <w:color w:val="052D3F"/>
                <w:szCs w:val="44"/>
                <w:lang w:val="en-US"/>
              </w:rPr>
              <w:drawing>
                <wp:anchor distT="0" distB="0" distL="114300" distR="114300" simplePos="0" relativeHeight="251658265" behindDoc="1" locked="0" layoutInCell="1" allowOverlap="1" wp14:anchorId="101C8C45" wp14:editId="0B72F48D">
                  <wp:simplePos x="0" y="0"/>
                  <wp:positionH relativeFrom="column">
                    <wp:posOffset>2078355</wp:posOffset>
                  </wp:positionH>
                  <wp:positionV relativeFrom="paragraph">
                    <wp:posOffset>864870</wp:posOffset>
                  </wp:positionV>
                  <wp:extent cx="1808480" cy="563245"/>
                  <wp:effectExtent l="0" t="0" r="0" b="0"/>
                  <wp:wrapTight wrapText="bothSides">
                    <wp:wrapPolygon edited="0">
                      <wp:start x="1138" y="2922"/>
                      <wp:lineTo x="1138" y="18264"/>
                      <wp:lineTo x="20250" y="18264"/>
                      <wp:lineTo x="19567" y="2922"/>
                      <wp:lineTo x="1138" y="2922"/>
                    </wp:wrapPolygon>
                  </wp:wrapTight>
                  <wp:docPr id="18" name="Picture 18" descr="https://bethnalgreenventures.com/app/themes/outlandish/public/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thnalgreenventures.com/app/themes/outlandish/public/img/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8480" cy="563245"/>
                          </a:xfrm>
                          <a:prstGeom prst="rect">
                            <a:avLst/>
                          </a:prstGeom>
                          <a:noFill/>
                        </pic:spPr>
                      </pic:pic>
                    </a:graphicData>
                  </a:graphic>
                  <wp14:sizeRelH relativeFrom="margin">
                    <wp14:pctWidth>0</wp14:pctWidth>
                  </wp14:sizeRelH>
                  <wp14:sizeRelV relativeFrom="margin">
                    <wp14:pctHeight>0</wp14:pctHeight>
                  </wp14:sizeRelV>
                </wp:anchor>
              </w:drawing>
            </w:r>
            <w:r w:rsidRPr="00802947">
              <w:rPr>
                <w:rFonts w:ascii="Source Sans Pro" w:eastAsia="Yu Gothic UI" w:hAnsi="Source Sans Pro"/>
                <w:bCs/>
                <w:color w:val="052D3F"/>
                <w:szCs w:val="44"/>
                <w:lang w:val="en-US"/>
              </w:rPr>
              <w:t xml:space="preserve">Tech for Good is an cohort based investment and business support programme for tech companies to support early stage business ideas with a strong social or environmental purpose.  Typically offering funding of £20,000 for a 6% equity stake in the business, companies then get space, support and mentoring to help them develop ideas. Funding is allocated on the basis of  3 themes – Sustainable Planet, Better Lives and Fairer Society.  </w:t>
            </w:r>
          </w:p>
        </w:tc>
      </w:tr>
    </w:tbl>
    <w:p w14:paraId="20CBEE03" w14:textId="3C173A89" w:rsidR="00BD0540" w:rsidRDefault="00BD0540" w:rsidP="00202234">
      <w:pPr>
        <w:pStyle w:val="RDTier2"/>
      </w:pPr>
      <w:bookmarkStart w:id="40" w:name="_Toc20750109"/>
      <w:bookmarkStart w:id="41" w:name="_Toc20750222"/>
      <w:bookmarkStart w:id="42" w:name="_Toc20750276"/>
      <w:r>
        <w:br w:type="page"/>
      </w:r>
    </w:p>
    <w:p w14:paraId="7339404E" w14:textId="554122F4" w:rsidR="00202234" w:rsidRDefault="00AC5BFF" w:rsidP="00202234">
      <w:pPr>
        <w:pStyle w:val="RDTier2"/>
      </w:pPr>
      <w:bookmarkStart w:id="43" w:name="_Toc20750110"/>
      <w:bookmarkStart w:id="44" w:name="_Toc20750223"/>
      <w:bookmarkStart w:id="45" w:name="_Toc20750277"/>
      <w:bookmarkEnd w:id="40"/>
      <w:bookmarkEnd w:id="41"/>
      <w:bookmarkEnd w:id="42"/>
      <w:r>
        <w:lastRenderedPageBreak/>
        <w:t>ECO 4</w:t>
      </w:r>
      <w:r w:rsidR="004908D5">
        <w:t xml:space="preserve">. </w:t>
      </w:r>
      <w:bookmarkEnd w:id="43"/>
      <w:bookmarkEnd w:id="44"/>
      <w:bookmarkEnd w:id="45"/>
      <w:r>
        <w:t>Workspace</w:t>
      </w:r>
      <w:r w:rsidR="004908D5">
        <w:t xml:space="preserve">: Stimulating and Curating the Supply of Space </w:t>
      </w:r>
    </w:p>
    <w:p w14:paraId="192968C2" w14:textId="14310658" w:rsidR="00F34C61" w:rsidRDefault="00F34C61" w:rsidP="004E6815">
      <w:pPr>
        <w:pStyle w:val="RDParagraph"/>
      </w:pPr>
      <w:r>
        <w:t xml:space="preserve">Expediting the delivery of workspace will play a crucial role in </w:t>
      </w:r>
      <w:r w:rsidR="00B35257">
        <w:t xml:space="preserve">establishing </w:t>
      </w:r>
      <w:r>
        <w:t xml:space="preserve">the Royal Docks </w:t>
      </w:r>
      <w:r w:rsidR="00B35257">
        <w:t>as</w:t>
      </w:r>
      <w:r>
        <w:t xml:space="preserve"> a successful business location. It is a tangible area of activity over which the Royal Docks </w:t>
      </w:r>
      <w:r w:rsidR="00B35257">
        <w:t>T</w:t>
      </w:r>
      <w:r>
        <w:t xml:space="preserve">eam can have direct influence. Workspace should be seen as integral to the business support offer and part of an </w:t>
      </w:r>
      <w:r w:rsidR="00AC65A7">
        <w:t>‘</w:t>
      </w:r>
      <w:r>
        <w:t>activity</w:t>
      </w:r>
      <w:r w:rsidR="00AC65A7">
        <w:t>-</w:t>
      </w:r>
      <w:r>
        <w:t>curated</w:t>
      </w:r>
      <w:r w:rsidR="00AC65A7">
        <w:t>’</w:t>
      </w:r>
      <w:r>
        <w:t xml:space="preserve"> offer </w:t>
      </w:r>
      <w:r w:rsidR="00AC65A7">
        <w:t xml:space="preserve">that </w:t>
      </w:r>
      <w:r>
        <w:t>de-risk</w:t>
      </w:r>
      <w:r w:rsidR="00AC65A7">
        <w:t>s</w:t>
      </w:r>
      <w:r>
        <w:t xml:space="preserve"> growth for Royal Docks companies</w:t>
      </w:r>
      <w:r w:rsidR="00AC65A7">
        <w:t>.</w:t>
      </w:r>
      <w:r>
        <w:t xml:space="preserve"> </w:t>
      </w:r>
    </w:p>
    <w:p w14:paraId="7C5E3E20" w14:textId="77777777" w:rsidR="007010D2" w:rsidRPr="007561BD" w:rsidRDefault="007010D2" w:rsidP="007010D2">
      <w:pPr>
        <w:pStyle w:val="RDTier3"/>
      </w:pPr>
      <w:r w:rsidRPr="007561BD">
        <w:t xml:space="preserve">Investment </w:t>
      </w:r>
      <w:r>
        <w:t>Parameters</w:t>
      </w:r>
    </w:p>
    <w:p w14:paraId="19E9242A" w14:textId="1B327F17" w:rsidR="00F34C61" w:rsidRPr="007010D2" w:rsidRDefault="00F34C61" w:rsidP="00C65544">
      <w:pPr>
        <w:pStyle w:val="RDParagraph"/>
        <w:rPr>
          <w:lang w:val="en-US"/>
        </w:rPr>
      </w:pPr>
      <w:r w:rsidRPr="007010D2">
        <w:rPr>
          <w:lang w:val="en-US"/>
        </w:rPr>
        <w:t xml:space="preserve">The current </w:t>
      </w:r>
      <w:r w:rsidR="00C15208">
        <w:rPr>
          <w:lang w:val="en-US"/>
        </w:rPr>
        <w:t>D</w:t>
      </w:r>
      <w:r w:rsidRPr="007010D2">
        <w:rPr>
          <w:lang w:val="en-US"/>
        </w:rPr>
        <w:t xml:space="preserve">elivery </w:t>
      </w:r>
      <w:r w:rsidR="00C15208">
        <w:rPr>
          <w:lang w:val="en-US"/>
        </w:rPr>
        <w:t>P</w:t>
      </w:r>
      <w:r w:rsidRPr="007010D2">
        <w:rPr>
          <w:lang w:val="en-US"/>
        </w:rPr>
        <w:t xml:space="preserve">lan </w:t>
      </w:r>
      <w:r w:rsidR="00C15208">
        <w:rPr>
          <w:lang w:val="en-US"/>
        </w:rPr>
        <w:t xml:space="preserve">PID </w:t>
      </w:r>
      <w:r w:rsidRPr="007010D2">
        <w:rPr>
          <w:lang w:val="en-US"/>
        </w:rPr>
        <w:t xml:space="preserve">is built around three interventions which </w:t>
      </w:r>
      <w:r w:rsidR="00CD12C5">
        <w:rPr>
          <w:lang w:val="en-US"/>
        </w:rPr>
        <w:t>aim to ensure a strong pipeline of spaces across the Royal Docks:</w:t>
      </w:r>
      <w:r w:rsidRPr="007010D2">
        <w:rPr>
          <w:lang w:val="en-US"/>
        </w:rPr>
        <w:t xml:space="preserve"> </w:t>
      </w:r>
    </w:p>
    <w:p w14:paraId="201D2FE2" w14:textId="62C188C9" w:rsidR="00F34C61" w:rsidRPr="00C65544" w:rsidRDefault="00F34C61" w:rsidP="00185A28">
      <w:pPr>
        <w:pStyle w:val="RDNumbers"/>
        <w:numPr>
          <w:ilvl w:val="0"/>
          <w:numId w:val="40"/>
        </w:numPr>
        <w:rPr>
          <w:lang w:val="en-US"/>
        </w:rPr>
      </w:pPr>
      <w:r w:rsidRPr="007010D2">
        <w:t>Creative Land Trust – Identifying space for the delivery of one of London’s first Creative Land Trust spaces, enabling low cost creative workspace in perpetuity</w:t>
      </w:r>
      <w:r w:rsidR="00CD12C5">
        <w:t>.</w:t>
      </w:r>
    </w:p>
    <w:p w14:paraId="1AC2B5AA" w14:textId="2A579081" w:rsidR="00F34C61" w:rsidRPr="007010D2" w:rsidRDefault="00F34C61" w:rsidP="00C65544">
      <w:pPr>
        <w:pStyle w:val="RDNumbers"/>
        <w:rPr>
          <w:lang w:val="en-US"/>
        </w:rPr>
      </w:pPr>
      <w:r w:rsidRPr="007010D2">
        <w:t>Silvertown Flyover – Developing proposals for conversion of business space beneath the Silvertown Flyover</w:t>
      </w:r>
      <w:r w:rsidR="00CD12C5">
        <w:t>.</w:t>
      </w:r>
    </w:p>
    <w:p w14:paraId="3ABFF5F4" w14:textId="29A250BC" w:rsidR="00F34C61" w:rsidRPr="007010D2" w:rsidRDefault="00F34C61" w:rsidP="00C65544">
      <w:pPr>
        <w:pStyle w:val="RDNumbers"/>
        <w:rPr>
          <w:lang w:val="en-US"/>
        </w:rPr>
      </w:pPr>
      <w:r w:rsidRPr="007010D2">
        <w:t>Workspace Acquisition Fund – A flexible fund to enable the Royal Docks team to intervene and deliver ensure balance in cost and types of workspaces, delivered on a commercial basis</w:t>
      </w:r>
      <w:r w:rsidR="007010D2" w:rsidRPr="007010D2">
        <w:t>.</w:t>
      </w:r>
    </w:p>
    <w:p w14:paraId="2A15840D" w14:textId="223EF43B" w:rsidR="000C3F44" w:rsidRDefault="00F34C61" w:rsidP="00A404D0">
      <w:pPr>
        <w:pStyle w:val="RDParagraph"/>
        <w:rPr>
          <w:lang w:val="en-US"/>
        </w:rPr>
      </w:pPr>
      <w:r>
        <w:rPr>
          <w:lang w:val="en-US"/>
        </w:rPr>
        <w:t xml:space="preserve">These are all relevant investments which could have a significant impact on the </w:t>
      </w:r>
      <w:r w:rsidR="00CB49DA">
        <w:rPr>
          <w:lang w:val="en-US"/>
        </w:rPr>
        <w:t>future supply</w:t>
      </w:r>
      <w:r>
        <w:rPr>
          <w:lang w:val="en-US"/>
        </w:rPr>
        <w:t xml:space="preserve"> of space</w:t>
      </w:r>
      <w:r w:rsidR="007C46ED">
        <w:rPr>
          <w:lang w:val="en-US"/>
        </w:rPr>
        <w:t xml:space="preserve"> across the Royal Dock’s</w:t>
      </w:r>
      <w:r>
        <w:rPr>
          <w:lang w:val="en-US"/>
        </w:rPr>
        <w:t xml:space="preserve">. </w:t>
      </w:r>
    </w:p>
    <w:p w14:paraId="19560E07" w14:textId="08EF733B" w:rsidR="00A404D0" w:rsidRPr="00482BC9" w:rsidRDefault="00A057ED" w:rsidP="00A404D0">
      <w:pPr>
        <w:pStyle w:val="RDParagraph"/>
        <w:rPr>
          <w:lang w:val="en-US"/>
        </w:rPr>
      </w:pPr>
      <w:r>
        <w:rPr>
          <w:lang w:val="en-US"/>
        </w:rPr>
        <w:t xml:space="preserve">However, given the breadth of </w:t>
      </w:r>
      <w:r w:rsidR="00CB49DA">
        <w:rPr>
          <w:lang w:val="en-US"/>
        </w:rPr>
        <w:t>delivery activity</w:t>
      </w:r>
      <w:r>
        <w:rPr>
          <w:lang w:val="en-US"/>
        </w:rPr>
        <w:t xml:space="preserve"> across the </w:t>
      </w:r>
      <w:r w:rsidR="00CB49DA">
        <w:rPr>
          <w:lang w:val="en-US"/>
        </w:rPr>
        <w:t>area</w:t>
      </w:r>
      <w:r>
        <w:rPr>
          <w:lang w:val="en-US"/>
        </w:rPr>
        <w:t xml:space="preserve"> and the large capital cost required to deliver workspace, it is important that the Royal Dock’s Team has a clear </w:t>
      </w:r>
      <w:r w:rsidR="000C3F44">
        <w:rPr>
          <w:lang w:val="en-US"/>
        </w:rPr>
        <w:t>mechanism</w:t>
      </w:r>
      <w:r>
        <w:rPr>
          <w:lang w:val="en-US"/>
        </w:rPr>
        <w:t xml:space="preserve"> to </w:t>
      </w:r>
      <w:r w:rsidR="00CB49DA">
        <w:rPr>
          <w:lang w:val="en-US"/>
        </w:rPr>
        <w:t>identify the opportunities</w:t>
      </w:r>
      <w:r w:rsidR="00435B6F">
        <w:rPr>
          <w:lang w:val="en-US"/>
        </w:rPr>
        <w:t xml:space="preserve"> </w:t>
      </w:r>
      <w:r w:rsidR="00B250E0">
        <w:rPr>
          <w:lang w:val="en-US"/>
        </w:rPr>
        <w:t xml:space="preserve">where </w:t>
      </w:r>
      <w:r w:rsidR="00F03EA6">
        <w:rPr>
          <w:lang w:val="en-US"/>
        </w:rPr>
        <w:t xml:space="preserve">a clear market failure exists and where the </w:t>
      </w:r>
      <w:r w:rsidR="00B250E0">
        <w:rPr>
          <w:lang w:val="en-US"/>
        </w:rPr>
        <w:t>public sector investment can deliver the greatest added value</w:t>
      </w:r>
      <w:r w:rsidR="00435B6F">
        <w:rPr>
          <w:lang w:val="en-US"/>
        </w:rPr>
        <w:t>.</w:t>
      </w:r>
      <w:r w:rsidR="00A404D0" w:rsidRPr="00A404D0">
        <w:rPr>
          <w:lang w:val="en-US"/>
        </w:rPr>
        <w:t xml:space="preserve"> </w:t>
      </w:r>
      <w:r w:rsidR="000C3F44">
        <w:rPr>
          <w:lang w:val="en-US"/>
        </w:rPr>
        <w:t xml:space="preserve"> </w:t>
      </w:r>
      <w:r w:rsidR="00A404D0">
        <w:rPr>
          <w:lang w:val="en-US"/>
        </w:rPr>
        <w:t xml:space="preserve">It is important that projects delivered by the Royal Dock’s Team act to stimulate / catalyse the market, rather than </w:t>
      </w:r>
      <w:r w:rsidR="00F74B75">
        <w:rPr>
          <w:lang w:val="en-US"/>
        </w:rPr>
        <w:t xml:space="preserve">to </w:t>
      </w:r>
      <w:r w:rsidR="00A404D0">
        <w:rPr>
          <w:lang w:val="en-US"/>
        </w:rPr>
        <w:t>create competition.</w:t>
      </w:r>
    </w:p>
    <w:p w14:paraId="5C1B0A1B" w14:textId="40142B1A" w:rsidR="00A404D0" w:rsidRDefault="00435B6F" w:rsidP="004E6815">
      <w:pPr>
        <w:pStyle w:val="RDParagraph"/>
        <w:rPr>
          <w:lang w:val="en-US"/>
        </w:rPr>
      </w:pPr>
      <w:r>
        <w:rPr>
          <w:lang w:val="en-US"/>
        </w:rPr>
        <w:t>While focusing on upcoming developments and new spaces, i</w:t>
      </w:r>
      <w:r w:rsidR="00F34C61">
        <w:rPr>
          <w:lang w:val="en-US"/>
        </w:rPr>
        <w:t xml:space="preserve">t is </w:t>
      </w:r>
      <w:r>
        <w:rPr>
          <w:lang w:val="en-US"/>
        </w:rPr>
        <w:t xml:space="preserve">also </w:t>
      </w:r>
      <w:r w:rsidR="00F34C61">
        <w:rPr>
          <w:lang w:val="en-US"/>
        </w:rPr>
        <w:t>important that existing spaces such as Newham Dockside, The Crystal and Tate &amp; Lyle’s peripheral industrial sites are not overlooked.</w:t>
      </w:r>
      <w:r w:rsidR="00085156">
        <w:rPr>
          <w:lang w:val="en-US"/>
        </w:rPr>
        <w:t xml:space="preserve"> It is also important that a holistic definition of ‘workspace’ is </w:t>
      </w:r>
      <w:r w:rsidR="009F6BED">
        <w:rPr>
          <w:lang w:val="en-US"/>
        </w:rPr>
        <w:t>adopted,</w:t>
      </w:r>
      <w:r w:rsidR="00085156">
        <w:rPr>
          <w:lang w:val="en-US"/>
        </w:rPr>
        <w:t xml:space="preserve"> </w:t>
      </w:r>
      <w:r w:rsidR="00CF0BFC">
        <w:rPr>
          <w:lang w:val="en-US"/>
        </w:rPr>
        <w:t xml:space="preserve">considering </w:t>
      </w:r>
      <w:r w:rsidR="0040487E">
        <w:rPr>
          <w:lang w:val="en-US"/>
        </w:rPr>
        <w:t>opportunities</w:t>
      </w:r>
      <w:r w:rsidR="00CF0BFC">
        <w:rPr>
          <w:lang w:val="en-US"/>
        </w:rPr>
        <w:t xml:space="preserve"> within local amenity and service centres </w:t>
      </w:r>
      <w:r w:rsidR="0040487E">
        <w:rPr>
          <w:lang w:val="en-US"/>
        </w:rPr>
        <w:t>alongside more obvious spaces</w:t>
      </w:r>
      <w:r w:rsidR="00CF0BFC">
        <w:rPr>
          <w:lang w:val="en-US"/>
        </w:rPr>
        <w:t xml:space="preserve"> </w:t>
      </w:r>
      <w:r w:rsidR="00AF12C0">
        <w:rPr>
          <w:lang w:val="en-US"/>
        </w:rPr>
        <w:t xml:space="preserve">coming forward </w:t>
      </w:r>
      <w:r w:rsidR="00CF0BFC">
        <w:rPr>
          <w:lang w:val="en-US"/>
        </w:rPr>
        <w:t xml:space="preserve">within </w:t>
      </w:r>
      <w:r w:rsidR="007B6281">
        <w:rPr>
          <w:lang w:val="en-US"/>
        </w:rPr>
        <w:t>new</w:t>
      </w:r>
      <w:r w:rsidR="00162275">
        <w:rPr>
          <w:lang w:val="en-US"/>
        </w:rPr>
        <w:t xml:space="preserve"> employment hubs.</w:t>
      </w:r>
      <w:r w:rsidR="00F34C61">
        <w:rPr>
          <w:lang w:val="en-US"/>
        </w:rPr>
        <w:t xml:space="preserve"> </w:t>
      </w:r>
    </w:p>
    <w:p w14:paraId="60C6634E" w14:textId="15088373" w:rsidR="00F82835" w:rsidRDefault="00F82835" w:rsidP="004E6815">
      <w:pPr>
        <w:pStyle w:val="RDParagraph"/>
        <w:rPr>
          <w:lang w:val="en-US"/>
        </w:rPr>
      </w:pPr>
      <w:r>
        <w:rPr>
          <w:lang w:val="en-US"/>
        </w:rPr>
        <w:t xml:space="preserve">The </w:t>
      </w:r>
      <w:r w:rsidR="0031790B">
        <w:rPr>
          <w:lang w:val="en-US"/>
        </w:rPr>
        <w:t xml:space="preserve">phased and long term </w:t>
      </w:r>
      <w:r>
        <w:rPr>
          <w:lang w:val="en-US"/>
        </w:rPr>
        <w:t xml:space="preserve">nature of delivery </w:t>
      </w:r>
      <w:r w:rsidR="00902D96">
        <w:rPr>
          <w:lang w:val="en-US"/>
        </w:rPr>
        <w:t xml:space="preserve">across the Royal Dock’s means that </w:t>
      </w:r>
      <w:r w:rsidR="0031790B">
        <w:rPr>
          <w:lang w:val="en-US"/>
        </w:rPr>
        <w:t>‘</w:t>
      </w:r>
      <w:r w:rsidR="00902D96">
        <w:rPr>
          <w:lang w:val="en-US"/>
        </w:rPr>
        <w:t>Workspace</w:t>
      </w:r>
      <w:r w:rsidR="0031790B">
        <w:rPr>
          <w:lang w:val="en-US"/>
        </w:rPr>
        <w:t>’</w:t>
      </w:r>
      <w:r w:rsidR="00902D96">
        <w:rPr>
          <w:lang w:val="en-US"/>
        </w:rPr>
        <w:t xml:space="preserve"> will need to be a highly dynamic and ‘rolling’ area of activity, </w:t>
      </w:r>
      <w:r w:rsidR="0059171D">
        <w:rPr>
          <w:lang w:val="en-US"/>
        </w:rPr>
        <w:t>which is able to respond to quickly to changes in development activity and evolution in market demand and opportunity.</w:t>
      </w:r>
      <w:r w:rsidR="00FF114D">
        <w:rPr>
          <w:lang w:val="en-US"/>
        </w:rPr>
        <w:t xml:space="preserve"> </w:t>
      </w:r>
      <w:r w:rsidR="00FA09DA">
        <w:rPr>
          <w:lang w:val="en-US"/>
        </w:rPr>
        <w:t xml:space="preserve">It will also be important to adopt an area based approach, recognising that opportunities </w:t>
      </w:r>
      <w:r w:rsidR="00197241">
        <w:rPr>
          <w:lang w:val="en-US"/>
        </w:rPr>
        <w:t xml:space="preserve">and the need for intervention will vary significantly from one neighbourhood to the next over time. </w:t>
      </w:r>
    </w:p>
    <w:p w14:paraId="20A21B11" w14:textId="77777777" w:rsidR="0067130E" w:rsidRDefault="0067130E" w:rsidP="0067130E">
      <w:pPr>
        <w:pStyle w:val="RDTier3"/>
      </w:pPr>
      <w:r>
        <w:t>Delivery Focus</w:t>
      </w:r>
    </w:p>
    <w:p w14:paraId="26F4A928" w14:textId="5F91D6BC" w:rsidR="00A92D74" w:rsidRDefault="00A92D74" w:rsidP="00A92D74">
      <w:pPr>
        <w:pStyle w:val="RDParagraph"/>
        <w:rPr>
          <w:lang w:val="en-US"/>
        </w:rPr>
      </w:pPr>
      <w:r w:rsidRPr="00A92D74">
        <w:rPr>
          <w:lang w:val="en-US"/>
        </w:rPr>
        <w:t>The initial priority is to develop a clear internal</w:t>
      </w:r>
      <w:r w:rsidRPr="00A92D74">
        <w:rPr>
          <w:lang w:val="en-US"/>
        </w:rPr>
        <w:t xml:space="preserve"> work</w:t>
      </w:r>
      <w:r w:rsidRPr="00951458">
        <w:rPr>
          <w:lang w:val="en-US"/>
        </w:rPr>
        <w:t>space and asset strategy</w:t>
      </w:r>
      <w:r>
        <w:rPr>
          <w:lang w:val="en-US"/>
        </w:rPr>
        <w:t>, setting</w:t>
      </w:r>
      <w:r w:rsidRPr="00951458">
        <w:rPr>
          <w:lang w:val="en-US"/>
        </w:rPr>
        <w:t xml:space="preserve"> out the types of spaces required and developing clear delivery models to achieve this. </w:t>
      </w:r>
      <w:r>
        <w:rPr>
          <w:lang w:val="en-US"/>
        </w:rPr>
        <w:t>It</w:t>
      </w:r>
      <w:r w:rsidRPr="00951458">
        <w:rPr>
          <w:lang w:val="en-US"/>
        </w:rPr>
        <w:t xml:space="preserve"> would e</w:t>
      </w:r>
      <w:r>
        <w:rPr>
          <w:lang w:val="en-US"/>
        </w:rPr>
        <w:t xml:space="preserve">xplore: </w:t>
      </w:r>
    </w:p>
    <w:p w14:paraId="130A22D9" w14:textId="77777777" w:rsidR="00A92D74" w:rsidRDefault="00A92D74" w:rsidP="00A92D74">
      <w:pPr>
        <w:pStyle w:val="RDBullet"/>
        <w:ind w:left="1491" w:hanging="357"/>
      </w:pPr>
      <w:r>
        <w:t>Approaches to coordination of workspace, and scoping of delivery models</w:t>
      </w:r>
    </w:p>
    <w:p w14:paraId="06E7A4F8" w14:textId="77777777" w:rsidR="00A92D74" w:rsidRDefault="00A92D74" w:rsidP="00A92D74">
      <w:pPr>
        <w:pStyle w:val="RDBullet"/>
        <w:ind w:left="1491" w:hanging="357"/>
      </w:pPr>
      <w:r>
        <w:t>The different spectrums of potential Royal Docks Team involvement – the spectrum of investment, control and typologies</w:t>
      </w:r>
    </w:p>
    <w:p w14:paraId="7FB0722A" w14:textId="77777777" w:rsidR="00A92D74" w:rsidRDefault="00A92D74" w:rsidP="00A92D74">
      <w:pPr>
        <w:pStyle w:val="RDBullet"/>
        <w:ind w:left="1491" w:hanging="357"/>
      </w:pPr>
      <w:r>
        <w:t>The spatial approach; phasing considerations (e.g. balancing demand and mitigating oversupply / undersupply); sector demand; and fit out specifications.</w:t>
      </w:r>
    </w:p>
    <w:p w14:paraId="2F18BEAD" w14:textId="3085F8B3" w:rsidR="00A92D74" w:rsidRDefault="00A92D74" w:rsidP="00A92D74">
      <w:pPr>
        <w:pStyle w:val="RDBullet"/>
        <w:ind w:left="1491" w:hanging="357"/>
      </w:pPr>
      <w:r>
        <w:t>T</w:t>
      </w:r>
      <w:r w:rsidRPr="00040E3C">
        <w:t xml:space="preserve">erms for the subsidy of spaces (focussing upon local companies and those who can demonstrate social and environmental outcomes), lease arrangements which reflects these positive outcomes, </w:t>
      </w:r>
      <w:r w:rsidRPr="00FF1641">
        <w:t xml:space="preserve">a initial list of workspace providers and innovation partners, </w:t>
      </w:r>
      <w:r w:rsidRPr="00040E3C">
        <w:t>and examine the need (and mechanism) for centralised management of workspace</w:t>
      </w:r>
      <w:r>
        <w:t>.</w:t>
      </w:r>
    </w:p>
    <w:p w14:paraId="1EA2B522" w14:textId="1ADBAD7F" w:rsidR="00A92D74" w:rsidRPr="00FF1641" w:rsidRDefault="00A92D74" w:rsidP="00A92D74">
      <w:pPr>
        <w:pStyle w:val="RDParagraph"/>
      </w:pPr>
      <w:r>
        <w:t>This Strategy will inform the core budget for ECO4 – the Workspace investment fund.</w:t>
      </w:r>
    </w:p>
    <w:p w14:paraId="3BBD6655" w14:textId="6A8265A9" w:rsidR="002B177A" w:rsidRDefault="002B177A" w:rsidP="00185A28">
      <w:pPr>
        <w:pStyle w:val="RDNumbers"/>
        <w:numPr>
          <w:ilvl w:val="0"/>
          <w:numId w:val="36"/>
        </w:numPr>
        <w:spacing w:after="160" w:line="259" w:lineRule="auto"/>
      </w:pPr>
      <w:r w:rsidRPr="00FA0B7E">
        <w:rPr>
          <w:b/>
        </w:rPr>
        <w:t>Workspace investment fund</w:t>
      </w:r>
      <w:r w:rsidR="00FA0B7E">
        <w:t>:</w:t>
      </w:r>
      <w:r>
        <w:t xml:space="preserve"> capital funding for to support direct intervention delivery of workspace (either full or in part). </w:t>
      </w:r>
      <w:r w:rsidR="00FA0B7E">
        <w:t>Early areas for focus</w:t>
      </w:r>
      <w:r w:rsidR="00B96029">
        <w:t xml:space="preserve"> would be dictated by the </w:t>
      </w:r>
      <w:r w:rsidR="00A27CCF">
        <w:t xml:space="preserve">contents of </w:t>
      </w:r>
      <w:r w:rsidR="00A92D74">
        <w:t xml:space="preserve">a clear </w:t>
      </w:r>
      <w:r w:rsidR="003A316B">
        <w:t>Strategy, but</w:t>
      </w:r>
      <w:r w:rsidR="00FA0B7E">
        <w:t xml:space="preserve"> might include:</w:t>
      </w:r>
    </w:p>
    <w:p w14:paraId="1424A543" w14:textId="71188E9F" w:rsidR="008569ED" w:rsidRPr="00FA0B7E" w:rsidRDefault="00ED56FE" w:rsidP="00FA0B7E">
      <w:pPr>
        <w:pStyle w:val="RDBullet"/>
        <w:ind w:left="1491" w:hanging="357"/>
      </w:pPr>
      <w:r w:rsidRPr="00FA0B7E">
        <w:t xml:space="preserve">Catalysing supply of </w:t>
      </w:r>
      <w:r w:rsidR="00B373F3" w:rsidRPr="00FA0B7E">
        <w:t>w</w:t>
      </w:r>
      <w:r w:rsidRPr="00FA0B7E">
        <w:t>ork</w:t>
      </w:r>
      <w:r w:rsidR="0019002F" w:rsidRPr="00FA0B7E">
        <w:t>sp</w:t>
      </w:r>
      <w:r w:rsidRPr="00FA0B7E">
        <w:t xml:space="preserve">ace in the </w:t>
      </w:r>
      <w:r w:rsidR="00647DC1" w:rsidRPr="00FA0B7E">
        <w:t>Royal Victoria</w:t>
      </w:r>
      <w:r w:rsidR="000B4F8E" w:rsidRPr="00FA0B7E">
        <w:t xml:space="preserve"> Dock</w:t>
      </w:r>
      <w:r w:rsidR="00647DC1" w:rsidRPr="00FA0B7E">
        <w:t xml:space="preserve"> are</w:t>
      </w:r>
      <w:r w:rsidR="00B373F3" w:rsidRPr="00FA0B7E">
        <w:t xml:space="preserve">a: the Royal Victoria </w:t>
      </w:r>
      <w:r w:rsidR="000B4F8E" w:rsidRPr="00FA0B7E">
        <w:t xml:space="preserve">Dock </w:t>
      </w:r>
      <w:r w:rsidR="00B373F3" w:rsidRPr="00FA0B7E">
        <w:t xml:space="preserve">area present the most immediate and important opportunity for the Royal Docks team to support the supply of workspace, given a number of specific spaces in the pipeline, and </w:t>
      </w:r>
      <w:r w:rsidR="00283582" w:rsidRPr="00FA0B7E">
        <w:t xml:space="preserve">role that the area has to play in terms of early activation with the Royal Docks. </w:t>
      </w:r>
      <w:r w:rsidR="00E82297" w:rsidRPr="00FA0B7E">
        <w:t>Delivery activities should include:</w:t>
      </w:r>
    </w:p>
    <w:p w14:paraId="65EB949D" w14:textId="2ECED8B3" w:rsidR="00B4151B" w:rsidRPr="00FA0B7E" w:rsidRDefault="00E82297" w:rsidP="000E7BA4">
      <w:pPr>
        <w:pStyle w:val="RDBullet"/>
        <w:ind w:left="2058" w:hanging="357"/>
      </w:pPr>
      <w:r w:rsidRPr="00FA0B7E">
        <w:t xml:space="preserve">Prioritising </w:t>
      </w:r>
      <w:r w:rsidR="00E21E2D" w:rsidRPr="00FA0B7E">
        <w:t xml:space="preserve">the development of </w:t>
      </w:r>
      <w:r w:rsidRPr="00FA0B7E">
        <w:t>a clear plan for</w:t>
      </w:r>
      <w:r w:rsidR="00B4151B" w:rsidRPr="00040E3C">
        <w:t xml:space="preserve"> </w:t>
      </w:r>
      <w:r w:rsidR="00C31E8B" w:rsidRPr="00040E3C">
        <w:t xml:space="preserve">the </w:t>
      </w:r>
      <w:r w:rsidR="00B4151B" w:rsidRPr="00040E3C">
        <w:t xml:space="preserve">future of the Crystal, scoping opportunities for </w:t>
      </w:r>
      <w:r w:rsidR="00E21E2D" w:rsidRPr="00040E3C">
        <w:t xml:space="preserve">occupation over </w:t>
      </w:r>
      <w:r w:rsidR="00B4151B" w:rsidRPr="00040E3C">
        <w:t>the next five years as a spark for activity</w:t>
      </w:r>
      <w:r w:rsidRPr="00040E3C">
        <w:t xml:space="preserve">. This </w:t>
      </w:r>
      <w:r w:rsidR="00E21E2D" w:rsidRPr="00040E3C">
        <w:t>should</w:t>
      </w:r>
      <w:r w:rsidR="00FE6764" w:rsidRPr="00040E3C">
        <w:t xml:space="preserve"> consider</w:t>
      </w:r>
      <w:r w:rsidR="00C31E8B" w:rsidRPr="00040E3C">
        <w:t xml:space="preserve"> </w:t>
      </w:r>
      <w:r w:rsidRPr="00040E3C">
        <w:t xml:space="preserve">providing space </w:t>
      </w:r>
      <w:r w:rsidR="008E447F" w:rsidRPr="00040E3C">
        <w:t xml:space="preserve">for activities </w:t>
      </w:r>
      <w:r w:rsidR="00B17336" w:rsidRPr="00040E3C">
        <w:t xml:space="preserve">specifically targeted </w:t>
      </w:r>
      <w:r w:rsidR="008E447F" w:rsidRPr="00040E3C">
        <w:t xml:space="preserve">within the Economic Purpose – including </w:t>
      </w:r>
      <w:r w:rsidR="00B17336" w:rsidRPr="00040E3C">
        <w:t>green enterprise (see ECO3)</w:t>
      </w:r>
      <w:r w:rsidR="00C31E8B" w:rsidRPr="00040E3C">
        <w:t>, youth enterprise (ECO1) and social innovation (ECO1)</w:t>
      </w:r>
    </w:p>
    <w:p w14:paraId="450ADDD1" w14:textId="7A64E205" w:rsidR="00C31E8B" w:rsidRPr="00FA0B7E" w:rsidRDefault="008E447F" w:rsidP="000E7BA4">
      <w:pPr>
        <w:pStyle w:val="RDBullet"/>
        <w:ind w:left="2058" w:hanging="357"/>
      </w:pPr>
      <w:r w:rsidRPr="00040E3C">
        <w:t xml:space="preserve">Reassess the </w:t>
      </w:r>
      <w:r w:rsidR="006B4727" w:rsidRPr="00040E3C">
        <w:t xml:space="preserve">case for investment in the Flyunder scheme, considering the </w:t>
      </w:r>
      <w:r w:rsidR="002C370A" w:rsidRPr="00040E3C">
        <w:t xml:space="preserve">market failure for investment in the workspace element of the project and the </w:t>
      </w:r>
      <w:r w:rsidR="008077D6" w:rsidRPr="00040E3C">
        <w:t xml:space="preserve">feasibility of restricting </w:t>
      </w:r>
      <w:r w:rsidR="00263EF7" w:rsidRPr="00040E3C">
        <w:t>public sector investment to the proposed public realm enhancements</w:t>
      </w:r>
    </w:p>
    <w:p w14:paraId="30FFF735" w14:textId="7072E4DE" w:rsidR="0009458F" w:rsidRPr="00FA0B7E" w:rsidRDefault="008077D6" w:rsidP="000E7BA4">
      <w:pPr>
        <w:pStyle w:val="RDBullet"/>
        <w:ind w:left="2058" w:hanging="357"/>
      </w:pPr>
      <w:r w:rsidRPr="00FA0B7E">
        <w:t xml:space="preserve">Further scoping of the </w:t>
      </w:r>
      <w:r w:rsidR="0069426F" w:rsidRPr="00FA0B7E">
        <w:t xml:space="preserve">pipeline of wider </w:t>
      </w:r>
      <w:r w:rsidR="009B4225" w:rsidRPr="00FA0B7E">
        <w:t>opportunities</w:t>
      </w:r>
      <w:r w:rsidR="0069426F" w:rsidRPr="00FA0B7E">
        <w:t xml:space="preserve"> across the area (</w:t>
      </w:r>
      <w:r w:rsidR="009B4225" w:rsidRPr="00FA0B7E">
        <w:t xml:space="preserve">including </w:t>
      </w:r>
      <w:r w:rsidR="0069426F" w:rsidRPr="00FA0B7E">
        <w:t xml:space="preserve">Brunel </w:t>
      </w:r>
      <w:r w:rsidR="009B4225" w:rsidRPr="00FA0B7E">
        <w:t xml:space="preserve">Street Works, </w:t>
      </w:r>
      <w:r w:rsidR="003B177C" w:rsidRPr="00FA0B7E">
        <w:t>Pump House and space within Thameside West), considering the</w:t>
      </w:r>
      <w:r w:rsidR="00814961" w:rsidRPr="00FA0B7E">
        <w:t xml:space="preserve"> potential to develop a ‘hub and spoke’ model linked to the </w:t>
      </w:r>
      <w:r w:rsidR="00704FE0" w:rsidRPr="00FA0B7E">
        <w:t>Crystal</w:t>
      </w:r>
      <w:r w:rsidR="00814961" w:rsidRPr="00FA0B7E">
        <w:t xml:space="preserve"> (providing additional </w:t>
      </w:r>
      <w:r w:rsidR="00704FE0" w:rsidRPr="00FA0B7E">
        <w:t>curated start-up and grow in space), and the case for and nature of public sector intervention.</w:t>
      </w:r>
    </w:p>
    <w:p w14:paraId="2CC772AF" w14:textId="3B2D85B4" w:rsidR="00CA37C9" w:rsidRPr="00FA0B7E" w:rsidRDefault="00CA37C9" w:rsidP="00FA0B7E">
      <w:pPr>
        <w:pStyle w:val="RDBullet"/>
        <w:ind w:left="1491" w:hanging="357"/>
      </w:pPr>
      <w:r w:rsidRPr="00FA0B7E">
        <w:t>Curation of space within future developments</w:t>
      </w:r>
      <w:r w:rsidR="00951458" w:rsidRPr="00FA0B7E">
        <w:t xml:space="preserve">: working </w:t>
      </w:r>
      <w:r w:rsidRPr="00FA0B7E">
        <w:t xml:space="preserve">proactively with developers, </w:t>
      </w:r>
      <w:r w:rsidRPr="00951458">
        <w:t>landowners</w:t>
      </w:r>
      <w:r w:rsidRPr="00FA0B7E">
        <w:t xml:space="preserve"> and agents to map the pipeline of spaces coming forward, with a focus on minimising risk of oversupply within specific time periods and neighbourhoods</w:t>
      </w:r>
      <w:r w:rsidR="00951458" w:rsidRPr="00FA0B7E">
        <w:t xml:space="preserve">. </w:t>
      </w:r>
      <w:r w:rsidRPr="00FA0B7E">
        <w:t xml:space="preserve">Where </w:t>
      </w:r>
      <w:r w:rsidR="00083B98" w:rsidRPr="00FA0B7E">
        <w:t>relevant</w:t>
      </w:r>
      <w:r w:rsidR="009B65EC" w:rsidRPr="00FA0B7E">
        <w:t xml:space="preserve">, </w:t>
      </w:r>
      <w:r w:rsidRPr="00040E3C">
        <w:t xml:space="preserve">arrangements </w:t>
      </w:r>
      <w:r w:rsidR="00083B98">
        <w:t xml:space="preserve">should be developed </w:t>
      </w:r>
      <w:r w:rsidRPr="00040E3C">
        <w:t>to share risk with developers on the delivery of subsidised spaces for start-up, community business and youth enterprise. Collaboration with ABP should form an immediate priority in this regard, both to activate space and to stimulate market interest.</w:t>
      </w:r>
    </w:p>
    <w:p w14:paraId="7775C210" w14:textId="56F48D50" w:rsidR="006A47B9" w:rsidRPr="00FA0B7E" w:rsidRDefault="003B5DA5" w:rsidP="00FA0B7E">
      <w:pPr>
        <w:pStyle w:val="RDBullet"/>
        <w:ind w:left="1491" w:hanging="357"/>
      </w:pPr>
      <w:r w:rsidRPr="00FA0B7E">
        <w:lastRenderedPageBreak/>
        <w:t xml:space="preserve">Supporting supply of spaces for industry and production: </w:t>
      </w:r>
      <w:r w:rsidR="008A3B98" w:rsidRPr="00FA0B7E">
        <w:t xml:space="preserve">alongside new spaces, work with existing landowners to support the evolution of spaces for industry and creative production. This </w:t>
      </w:r>
      <w:r w:rsidR="006A47B9" w:rsidRPr="00FA0B7E">
        <w:t>should c</w:t>
      </w:r>
      <w:r w:rsidR="003148F7" w:rsidRPr="006A47B9">
        <w:t>onsider the provision of ‘messy’ art space at scale as part of the Creative Land Trust project</w:t>
      </w:r>
      <w:r w:rsidR="006A47B9" w:rsidRPr="006A47B9">
        <w:t>, s</w:t>
      </w:r>
      <w:r w:rsidR="002212CB" w:rsidRPr="006A47B9">
        <w:t>upport the evolution of high-quality light industrial spaces alongside office and studio development</w:t>
      </w:r>
      <w:r w:rsidR="006A47B9" w:rsidRPr="006A47B9">
        <w:t>, and work with Newham Council to pilot arrangements for the use of public sector spaces to support early stage enterprise within existing town centre spaces</w:t>
      </w:r>
      <w:r w:rsidR="006A47B9">
        <w:t>.</w:t>
      </w:r>
      <w:r w:rsidR="00067100">
        <w:t xml:space="preserve"> Exploring the potential to use vacant space at Tate and Lyle </w:t>
      </w:r>
      <w:r w:rsidR="00C20DF6">
        <w:t>should be an initial priority.</w:t>
      </w:r>
    </w:p>
    <w:p w14:paraId="72FDC1B1" w14:textId="77777777" w:rsidR="000B55BE" w:rsidRPr="00F46E90" w:rsidRDefault="000B55BE" w:rsidP="000B55BE">
      <w:pPr>
        <w:pStyle w:val="RDTier3"/>
      </w:pPr>
      <w:r w:rsidRPr="00F46E90">
        <w:t>Outcomes: Contributions to Economic Purpose and Success Measures</w:t>
      </w:r>
    </w:p>
    <w:p w14:paraId="7426AA26" w14:textId="2FEB3F21" w:rsidR="00A952C0" w:rsidRPr="00F46E90" w:rsidRDefault="00F46E90" w:rsidP="004E6815">
      <w:pPr>
        <w:pStyle w:val="RDParagraph"/>
        <w:rPr>
          <w:lang w:val="en-US"/>
        </w:rPr>
      </w:pPr>
      <w:r w:rsidRPr="00F46E90">
        <w:rPr>
          <w:lang w:val="en-US"/>
        </w:rPr>
        <w:t>The Workspace action area</w:t>
      </w:r>
      <w:r w:rsidR="004E6815" w:rsidRPr="00F46E90">
        <w:rPr>
          <w:lang w:val="en-US"/>
        </w:rPr>
        <w:t xml:space="preserve"> will play a defining role in determining the future size and balance of the local economy, the quality of local employment opportunities, and the vitality of the local enterprise economy. It will help coordinate the delivery and phasing of space, provide guidance on fit out and specification and, where relevant, inform the definition of flexible pricing models and delivery models.</w:t>
      </w:r>
    </w:p>
    <w:p w14:paraId="3AC2C3B0" w14:textId="77777777" w:rsidR="00A952C0" w:rsidRPr="00F46E90" w:rsidRDefault="00A952C0" w:rsidP="00A952C0">
      <w:pPr>
        <w:pStyle w:val="RDParagraph"/>
        <w:rPr>
          <w:lang w:val="en-US"/>
        </w:rPr>
      </w:pPr>
      <w:r w:rsidRPr="00F46E90">
        <w:rPr>
          <w:lang w:val="en-US"/>
        </w:rPr>
        <w:t>Success will ultimately be measured in terms of net commercial space delivered, long term occupancy rates (taking into account the length of void periods), overall rental yields and returns, the diversity of businesses located within the space and levels of business satisfaction.</w:t>
      </w:r>
    </w:p>
    <w:p w14:paraId="5CDA0E9A" w14:textId="38D9D442" w:rsidR="00A952C0" w:rsidRPr="00D0375F" w:rsidRDefault="0000585B" w:rsidP="00A952C0">
      <w:pPr>
        <w:pStyle w:val="RDTier3"/>
        <w:rPr>
          <w:lang w:val="en-US"/>
        </w:rPr>
      </w:pPr>
      <w:r w:rsidRPr="00D0375F">
        <w:rPr>
          <w:lang w:val="en-US"/>
        </w:rPr>
        <w:t>Immediate Actions</w:t>
      </w:r>
    </w:p>
    <w:p w14:paraId="27400204" w14:textId="7F0A0FCB" w:rsidR="00977B6D" w:rsidRDefault="00977B6D" w:rsidP="00977B6D">
      <w:pPr>
        <w:pStyle w:val="RDBullet"/>
        <w:numPr>
          <w:ilvl w:val="0"/>
          <w:numId w:val="0"/>
        </w:numPr>
        <w:ind w:left="1040" w:hanging="360"/>
        <w:rPr>
          <w:lang w:val="en-US"/>
        </w:rPr>
      </w:pPr>
      <w:r>
        <w:rPr>
          <w:lang w:val="en-US"/>
        </w:rPr>
        <w:t>Immediate actions for year 1 include:</w:t>
      </w:r>
    </w:p>
    <w:p w14:paraId="6AE2C4BC" w14:textId="6674D669" w:rsidR="00FF53BC" w:rsidRPr="00D0375F" w:rsidRDefault="00FF53BC" w:rsidP="00A952C0">
      <w:pPr>
        <w:pStyle w:val="RDBullet"/>
        <w:rPr>
          <w:lang w:val="en-US"/>
        </w:rPr>
      </w:pPr>
      <w:r w:rsidRPr="00D0375F">
        <w:rPr>
          <w:lang w:val="en-US"/>
        </w:rPr>
        <w:t>Development of a</w:t>
      </w:r>
      <w:r w:rsidR="00A92D74">
        <w:rPr>
          <w:lang w:val="en-US"/>
        </w:rPr>
        <w:t>n internal</w:t>
      </w:r>
      <w:r w:rsidRPr="00D0375F">
        <w:rPr>
          <w:lang w:val="en-US"/>
        </w:rPr>
        <w:t xml:space="preserve"> Workspace and Asset Strategy to support deliver over the period to 2023 and beyond</w:t>
      </w:r>
    </w:p>
    <w:p w14:paraId="4BEAF19B" w14:textId="5E2813F2" w:rsidR="00A952C0" w:rsidRPr="00D0375F" w:rsidRDefault="00A952C0" w:rsidP="00A952C0">
      <w:pPr>
        <w:pStyle w:val="RDBullet"/>
        <w:rPr>
          <w:lang w:val="en-US"/>
        </w:rPr>
      </w:pPr>
      <w:r w:rsidRPr="00D0375F">
        <w:rPr>
          <w:lang w:val="en-US"/>
        </w:rPr>
        <w:t>Initial scoping of potential future uses of the Crystal</w:t>
      </w:r>
      <w:r w:rsidR="00FF53BC" w:rsidRPr="00D0375F">
        <w:rPr>
          <w:lang w:val="en-US"/>
        </w:rPr>
        <w:t xml:space="preserve"> and elsewhere within the Royal Victoria Dock area </w:t>
      </w:r>
    </w:p>
    <w:p w14:paraId="3B2D1DD4" w14:textId="153E1BD3" w:rsidR="00163A58" w:rsidRDefault="00163A58" w:rsidP="00163A58">
      <w:pPr>
        <w:pStyle w:val="RDBullet"/>
      </w:pPr>
      <w:r>
        <w:t xml:space="preserve">Early engagement with other developers and landowners across area to establish pipeline of space (existing, repurposing, forthcoming); identify investment or support needs; establish lines of communication; set out clearly </w:t>
      </w:r>
      <w:r w:rsidR="00D871D7">
        <w:t xml:space="preserve">the </w:t>
      </w:r>
      <w:r w:rsidR="00757C16">
        <w:t>Royal Dock’s teams</w:t>
      </w:r>
      <w:r>
        <w:t xml:space="preserve"> aspiration</w:t>
      </w:r>
      <w:r w:rsidR="00757C16">
        <w:t>s</w:t>
      </w:r>
      <w:r>
        <w:t xml:space="preserve"> </w:t>
      </w:r>
    </w:p>
    <w:p w14:paraId="4CDE33C5" w14:textId="77777777" w:rsidR="00163A58" w:rsidRPr="009B181A" w:rsidRDefault="00163A58" w:rsidP="00163A58">
      <w:pPr>
        <w:pStyle w:val="RDBullet"/>
      </w:pPr>
      <w:r>
        <w:t xml:space="preserve">Initial scoping of formal delivery structures – could include an early workspace steering group bringing together key actors across the area to share knowledge and ensure alignment. </w:t>
      </w:r>
    </w:p>
    <w:p w14:paraId="7AAF8DF6" w14:textId="77777777" w:rsidR="00163A58" w:rsidRPr="00D0375F" w:rsidRDefault="00163A58" w:rsidP="00757C16">
      <w:pPr>
        <w:pStyle w:val="RDBullet"/>
        <w:numPr>
          <w:ilvl w:val="0"/>
          <w:numId w:val="0"/>
        </w:numPr>
        <w:ind w:left="1040"/>
        <w:rPr>
          <w:lang w:val="en-US"/>
        </w:rPr>
      </w:pPr>
    </w:p>
    <w:p w14:paraId="2354DB1D" w14:textId="77777777" w:rsidR="00977B6D" w:rsidRDefault="00977B6D" w:rsidP="007848A7">
      <w:pPr>
        <w:pStyle w:val="RDTier2"/>
        <w:rPr>
          <w:i/>
          <w:sz w:val="22"/>
          <w:lang w:val="en-US"/>
        </w:rPr>
      </w:pPr>
      <w:r>
        <w:rPr>
          <w:i/>
          <w:sz w:val="22"/>
          <w:lang w:val="en-US"/>
        </w:rPr>
        <w:br w:type="page"/>
      </w:r>
    </w:p>
    <w:p w14:paraId="2CFA8960" w14:textId="479E69FD" w:rsidR="007848A7" w:rsidRPr="00595D2C" w:rsidRDefault="007848A7" w:rsidP="007848A7">
      <w:pPr>
        <w:pStyle w:val="RDTier2"/>
        <w:rPr>
          <w:i/>
          <w:sz w:val="22"/>
          <w:lang w:val="en-US"/>
        </w:rPr>
      </w:pPr>
      <w:r w:rsidRPr="00595D2C">
        <w:rPr>
          <w:i/>
          <w:sz w:val="22"/>
          <w:lang w:val="en-US"/>
        </w:rPr>
        <w:lastRenderedPageBreak/>
        <w:t>Table 4.</w:t>
      </w:r>
      <w:r w:rsidR="00AB72AB">
        <w:rPr>
          <w:i/>
          <w:sz w:val="22"/>
          <w:lang w:val="en-US"/>
        </w:rPr>
        <w:t>5</w:t>
      </w:r>
      <w:r w:rsidRPr="00595D2C">
        <w:rPr>
          <w:i/>
          <w:sz w:val="22"/>
          <w:lang w:val="en-US"/>
        </w:rPr>
        <w:t xml:space="preserve">: </w:t>
      </w:r>
      <w:r w:rsidR="00AB72AB">
        <w:rPr>
          <w:i/>
          <w:sz w:val="22"/>
          <w:lang w:val="en-US"/>
        </w:rPr>
        <w:t>Curating Space</w:t>
      </w:r>
      <w:r>
        <w:rPr>
          <w:i/>
          <w:sz w:val="22"/>
          <w:lang w:val="en-US"/>
        </w:rPr>
        <w:t>: Inspiration and Precedents</w:t>
      </w:r>
    </w:p>
    <w:tbl>
      <w:tblPr>
        <w:tblW w:w="8505" w:type="dxa"/>
        <w:tblInd w:w="709" w:type="dxa"/>
        <w:tblLayout w:type="fixed"/>
        <w:tblCellMar>
          <w:left w:w="0" w:type="dxa"/>
          <w:right w:w="0" w:type="dxa"/>
        </w:tblCellMar>
        <w:tblLook w:val="0420" w:firstRow="1" w:lastRow="0" w:firstColumn="0" w:lastColumn="0" w:noHBand="0" w:noVBand="1"/>
      </w:tblPr>
      <w:tblGrid>
        <w:gridCol w:w="1559"/>
        <w:gridCol w:w="6946"/>
      </w:tblGrid>
      <w:tr w:rsidR="007848A7" w:rsidRPr="00F72A73" w14:paraId="77390B0A" w14:textId="77777777" w:rsidTr="00040450">
        <w:trPr>
          <w:trHeight w:val="243"/>
        </w:trPr>
        <w:tc>
          <w:tcPr>
            <w:tcW w:w="1559" w:type="dxa"/>
            <w:tcBorders>
              <w:top w:val="single" w:sz="18" w:space="0" w:color="08445E" w:themeColor="accent2"/>
              <w:left w:val="nil"/>
              <w:bottom w:val="single" w:sz="18" w:space="0" w:color="08445E" w:themeColor="accent2"/>
              <w:right w:val="nil"/>
            </w:tcBorders>
            <w:shd w:val="clear" w:color="auto" w:fill="E9E9EA"/>
            <w:tcMar>
              <w:top w:w="72" w:type="dxa"/>
              <w:left w:w="144" w:type="dxa"/>
              <w:bottom w:w="72" w:type="dxa"/>
              <w:right w:w="144" w:type="dxa"/>
            </w:tcMar>
            <w:vAlign w:val="center"/>
          </w:tcPr>
          <w:p w14:paraId="2274FEA5" w14:textId="77777777" w:rsidR="007848A7" w:rsidRPr="00F72A73" w:rsidRDefault="007848A7" w:rsidP="00FA3139">
            <w:pPr>
              <w:pStyle w:val="TableTitleInTable"/>
              <w:jc w:val="center"/>
            </w:pPr>
            <w:r w:rsidRPr="004E2E89">
              <w:rPr>
                <w:color w:val="FF5000" w:themeColor="accent6"/>
              </w:rPr>
              <w:t>Example</w:t>
            </w:r>
          </w:p>
        </w:tc>
        <w:tc>
          <w:tcPr>
            <w:tcW w:w="6946" w:type="dxa"/>
            <w:tcBorders>
              <w:top w:val="single" w:sz="18" w:space="0" w:color="08445E" w:themeColor="accent2"/>
              <w:left w:val="nil"/>
              <w:bottom w:val="single" w:sz="18" w:space="0" w:color="08445E" w:themeColor="accent2"/>
              <w:right w:val="nil"/>
            </w:tcBorders>
            <w:shd w:val="clear" w:color="auto" w:fill="E9E9EA"/>
          </w:tcPr>
          <w:p w14:paraId="7D59C074" w14:textId="77777777" w:rsidR="007848A7" w:rsidRPr="00132E00" w:rsidRDefault="007848A7" w:rsidP="00FA3139">
            <w:pPr>
              <w:pStyle w:val="TableTitleInTable"/>
              <w:jc w:val="center"/>
              <w:rPr>
                <w:color w:val="FF5000" w:themeColor="accent6"/>
              </w:rPr>
            </w:pPr>
            <w:r>
              <w:rPr>
                <w:color w:val="FF5000" w:themeColor="accent6"/>
              </w:rPr>
              <w:t>Summary and Relevance</w:t>
            </w:r>
          </w:p>
        </w:tc>
      </w:tr>
      <w:tr w:rsidR="007848A7" w:rsidRPr="00F72A73" w14:paraId="0AAB86AE" w14:textId="77777777" w:rsidTr="00040450">
        <w:trPr>
          <w:trHeight w:val="243"/>
        </w:trPr>
        <w:tc>
          <w:tcPr>
            <w:tcW w:w="1559" w:type="dxa"/>
            <w:tcBorders>
              <w:top w:val="single" w:sz="18" w:space="0" w:color="08445E" w:themeColor="accent2"/>
              <w:left w:val="nil"/>
              <w:bottom w:val="single" w:sz="8" w:space="0" w:color="FF5000" w:themeColor="accent6"/>
              <w:right w:val="nil"/>
            </w:tcBorders>
            <w:shd w:val="clear" w:color="auto" w:fill="E9E9EA"/>
            <w:tcMar>
              <w:top w:w="72" w:type="dxa"/>
              <w:left w:w="144" w:type="dxa"/>
              <w:bottom w:w="72" w:type="dxa"/>
              <w:right w:w="144" w:type="dxa"/>
            </w:tcMar>
            <w:vAlign w:val="center"/>
          </w:tcPr>
          <w:p w14:paraId="626963DC" w14:textId="51CB0AFE" w:rsidR="007848A7" w:rsidRPr="00004521" w:rsidRDefault="00AB72AB" w:rsidP="00FA3139">
            <w:pPr>
              <w:pStyle w:val="TableTitleInTable"/>
              <w:rPr>
                <w:rFonts w:ascii="Source Sans Pro" w:eastAsia="Yu Gothic UI" w:hAnsi="Source Sans Pro"/>
                <w:b/>
                <w:bCs/>
                <w:color w:val="052D3F" w:themeColor="accent1"/>
                <w:szCs w:val="44"/>
                <w:lang w:val="en-US"/>
              </w:rPr>
            </w:pPr>
            <w:r w:rsidRPr="00AB72AB">
              <w:rPr>
                <w:rFonts w:ascii="Source Sans Pro" w:eastAsia="Yu Gothic UI" w:hAnsi="Source Sans Pro"/>
                <w:b/>
                <w:bCs/>
                <w:color w:val="052D3F" w:themeColor="accent1"/>
                <w:szCs w:val="44"/>
              </w:rPr>
              <w:t>International House</w:t>
            </w:r>
            <w:r>
              <w:rPr>
                <w:rFonts w:ascii="Source Sans Pro" w:eastAsia="Yu Gothic UI" w:hAnsi="Source Sans Pro"/>
                <w:b/>
                <w:bCs/>
                <w:color w:val="052D3F" w:themeColor="accent1"/>
                <w:szCs w:val="44"/>
              </w:rPr>
              <w:t>, Brixton</w:t>
            </w:r>
          </w:p>
        </w:tc>
        <w:tc>
          <w:tcPr>
            <w:tcW w:w="6946" w:type="dxa"/>
            <w:tcBorders>
              <w:top w:val="single" w:sz="18" w:space="0" w:color="08445E" w:themeColor="accent2"/>
              <w:left w:val="nil"/>
              <w:bottom w:val="single" w:sz="8" w:space="0" w:color="FF5000" w:themeColor="accent6"/>
              <w:right w:val="nil"/>
            </w:tcBorders>
            <w:shd w:val="clear" w:color="auto" w:fill="E9E9EA"/>
            <w:vAlign w:val="center"/>
          </w:tcPr>
          <w:p w14:paraId="39F51821" w14:textId="64C8E700" w:rsidR="007848A7" w:rsidRPr="002069AF" w:rsidRDefault="00AB72AB" w:rsidP="00FC02D6">
            <w:pPr>
              <w:pStyle w:val="TableTitleInTable"/>
              <w:rPr>
                <w:rFonts w:ascii="Source Sans Pro" w:eastAsia="Yu Gothic UI" w:hAnsi="Source Sans Pro"/>
                <w:bCs/>
                <w:color w:val="052D3F"/>
                <w:szCs w:val="44"/>
                <w:lang w:val="en-US"/>
              </w:rPr>
            </w:pPr>
            <w:r w:rsidRPr="00AB72AB">
              <w:rPr>
                <w:rFonts w:ascii="Source Sans Pro" w:eastAsia="Yu Gothic UI" w:hAnsi="Source Sans Pro"/>
                <w:bCs/>
                <w:noProof/>
                <w:color w:val="052D3F"/>
                <w:szCs w:val="44"/>
              </w:rPr>
              <w:drawing>
                <wp:anchor distT="0" distB="0" distL="114300" distR="114300" simplePos="0" relativeHeight="251658258" behindDoc="0" locked="0" layoutInCell="1" allowOverlap="1" wp14:anchorId="79D20487" wp14:editId="21287ABC">
                  <wp:simplePos x="0" y="0"/>
                  <wp:positionH relativeFrom="column">
                    <wp:posOffset>2706370</wp:posOffset>
                  </wp:positionH>
                  <wp:positionV relativeFrom="paragraph">
                    <wp:posOffset>60960</wp:posOffset>
                  </wp:positionV>
                  <wp:extent cx="1588135" cy="1156335"/>
                  <wp:effectExtent l="0" t="0" r="0" b="5715"/>
                  <wp:wrapSquare wrapText="bothSides"/>
                  <wp:docPr id="215" name="Picture 6">
                    <a:extLst xmlns:a="http://schemas.openxmlformats.org/drawingml/2006/main">
                      <a:ext uri="{FF2B5EF4-FFF2-40B4-BE49-F238E27FC236}">
                        <a16:creationId xmlns:a16="http://schemas.microsoft.com/office/drawing/2014/main" id="{8A719DBD-75F8-4A50-9450-03F381096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A719DBD-75F8-4A50-9450-03F3810962CC}"/>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29830"/>
                          <a:stretch/>
                        </pic:blipFill>
                        <pic:spPr>
                          <a:xfrm>
                            <a:off x="0" y="0"/>
                            <a:ext cx="1588135" cy="1156335"/>
                          </a:xfrm>
                          <a:prstGeom prst="rect">
                            <a:avLst/>
                          </a:prstGeom>
                        </pic:spPr>
                      </pic:pic>
                    </a:graphicData>
                  </a:graphic>
                  <wp14:sizeRelH relativeFrom="page">
                    <wp14:pctWidth>0</wp14:pctWidth>
                  </wp14:sizeRelH>
                  <wp14:sizeRelV relativeFrom="page">
                    <wp14:pctHeight>0</wp14:pctHeight>
                  </wp14:sizeRelV>
                </wp:anchor>
              </w:drawing>
            </w:r>
            <w:r w:rsidRPr="00AB72AB">
              <w:rPr>
                <w:rFonts w:ascii="Source Sans Pro" w:eastAsia="Yu Gothic UI" w:hAnsi="Source Sans Pro"/>
                <w:bCs/>
                <w:color w:val="052D3F"/>
                <w:szCs w:val="44"/>
              </w:rPr>
              <w:t xml:space="preserve">Socially </w:t>
            </w:r>
            <w:r w:rsidR="00D9550F" w:rsidRPr="00AB72AB">
              <w:rPr>
                <w:rFonts w:ascii="Source Sans Pro" w:eastAsia="Yu Gothic UI" w:hAnsi="Source Sans Pro"/>
                <w:bCs/>
                <w:color w:val="052D3F"/>
                <w:szCs w:val="44"/>
              </w:rPr>
              <w:t>responsible,</w:t>
            </w:r>
            <w:r w:rsidRPr="00AB72AB">
              <w:rPr>
                <w:rFonts w:ascii="Source Sans Pro" w:eastAsia="Yu Gothic UI" w:hAnsi="Source Sans Pro"/>
                <w:bCs/>
                <w:color w:val="052D3F"/>
                <w:szCs w:val="44"/>
              </w:rPr>
              <w:t xml:space="preserve"> publicly owned workspace.</w:t>
            </w:r>
            <w:r>
              <w:rPr>
                <w:rFonts w:ascii="Source Sans Pro" w:eastAsia="Yu Gothic UI" w:hAnsi="Source Sans Pro"/>
                <w:bCs/>
                <w:color w:val="052D3F"/>
                <w:szCs w:val="44"/>
              </w:rPr>
              <w:t xml:space="preserve"> </w:t>
            </w:r>
            <w:r w:rsidRPr="00AB72AB">
              <w:rPr>
                <w:rFonts w:ascii="Source Sans Pro" w:eastAsia="Yu Gothic UI" w:hAnsi="Source Sans Pro"/>
                <w:bCs/>
                <w:color w:val="052D3F"/>
                <w:szCs w:val="44"/>
              </w:rPr>
              <w:t>Clear conditions on company ethos, living wage etc</w:t>
            </w:r>
            <w:r>
              <w:rPr>
                <w:rFonts w:ascii="Source Sans Pro" w:eastAsia="Yu Gothic UI" w:hAnsi="Source Sans Pro"/>
                <w:bCs/>
                <w:color w:val="052D3F"/>
                <w:szCs w:val="44"/>
              </w:rPr>
              <w:t xml:space="preserve">. </w:t>
            </w:r>
            <w:r w:rsidRPr="00AB72AB">
              <w:rPr>
                <w:rFonts w:ascii="Source Sans Pro" w:eastAsia="Yu Gothic UI" w:hAnsi="Source Sans Pro"/>
                <w:bCs/>
                <w:color w:val="052D3F"/>
                <w:szCs w:val="44"/>
              </w:rPr>
              <w:t>Mix</w:t>
            </w:r>
            <w:r w:rsidR="00FC02D6">
              <w:rPr>
                <w:rFonts w:ascii="Source Sans Pro" w:eastAsia="Yu Gothic UI" w:hAnsi="Source Sans Pro"/>
                <w:bCs/>
                <w:color w:val="052D3F"/>
                <w:szCs w:val="44"/>
              </w:rPr>
              <w:t xml:space="preserve"> of</w:t>
            </w:r>
            <w:r w:rsidRPr="00AB72AB">
              <w:rPr>
                <w:rFonts w:ascii="Source Sans Pro" w:eastAsia="Yu Gothic UI" w:hAnsi="Source Sans Pro"/>
                <w:bCs/>
                <w:color w:val="052D3F"/>
                <w:szCs w:val="44"/>
              </w:rPr>
              <w:t xml:space="preserve"> market, affordable and free spaces</w:t>
            </w:r>
            <w:r w:rsidR="00FC02D6">
              <w:rPr>
                <w:rFonts w:ascii="Source Sans Pro" w:eastAsia="Yu Gothic UI" w:hAnsi="Source Sans Pro"/>
                <w:bCs/>
                <w:color w:val="052D3F"/>
                <w:szCs w:val="44"/>
              </w:rPr>
              <w:t>; m</w:t>
            </w:r>
            <w:r w:rsidRPr="00AB72AB">
              <w:rPr>
                <w:rFonts w:ascii="Source Sans Pro" w:eastAsia="Yu Gothic UI" w:hAnsi="Source Sans Pro"/>
                <w:bCs/>
                <w:color w:val="052D3F"/>
                <w:szCs w:val="44"/>
              </w:rPr>
              <w:t xml:space="preserve">ix </w:t>
            </w:r>
            <w:r w:rsidR="00FC02D6">
              <w:rPr>
                <w:rFonts w:ascii="Source Sans Pro" w:eastAsia="Yu Gothic UI" w:hAnsi="Source Sans Pro"/>
                <w:bCs/>
                <w:color w:val="052D3F"/>
                <w:szCs w:val="44"/>
              </w:rPr>
              <w:t xml:space="preserve">of </w:t>
            </w:r>
            <w:r w:rsidRPr="00AB72AB">
              <w:rPr>
                <w:rFonts w:ascii="Source Sans Pro" w:eastAsia="Yu Gothic UI" w:hAnsi="Source Sans Pro"/>
                <w:bCs/>
                <w:color w:val="052D3F"/>
                <w:szCs w:val="44"/>
              </w:rPr>
              <w:t>private and charity tenants</w:t>
            </w:r>
            <w:r w:rsidR="00FC02D6">
              <w:rPr>
                <w:noProof/>
              </w:rPr>
              <w:t>; f</w:t>
            </w:r>
            <w:r w:rsidRPr="00AB72AB">
              <w:rPr>
                <w:rFonts w:ascii="Source Sans Pro" w:eastAsia="Yu Gothic UI" w:hAnsi="Source Sans Pro"/>
                <w:bCs/>
                <w:color w:val="052D3F"/>
                <w:szCs w:val="44"/>
              </w:rPr>
              <w:t>ree space for youth enterprise</w:t>
            </w:r>
            <w:r w:rsidR="00040450">
              <w:rPr>
                <w:rFonts w:ascii="Source Sans Pro" w:eastAsia="Yu Gothic UI" w:hAnsi="Source Sans Pro"/>
                <w:bCs/>
                <w:color w:val="052D3F"/>
                <w:szCs w:val="44"/>
              </w:rPr>
              <w:t>.</w:t>
            </w:r>
          </w:p>
        </w:tc>
      </w:tr>
      <w:tr w:rsidR="007848A7" w:rsidRPr="00F72A73" w14:paraId="5463C187" w14:textId="77777777" w:rsidTr="00040450">
        <w:trPr>
          <w:trHeight w:val="243"/>
        </w:trPr>
        <w:tc>
          <w:tcPr>
            <w:tcW w:w="1559"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715A7728" w14:textId="2A5CAE86" w:rsidR="007848A7" w:rsidRPr="00004521" w:rsidRDefault="0087625C" w:rsidP="00FA3139">
            <w:pPr>
              <w:pStyle w:val="TableTitleInTable"/>
              <w:rPr>
                <w:rFonts w:ascii="Source Sans Pro" w:eastAsia="Yu Gothic UI" w:hAnsi="Source Sans Pro"/>
                <w:b/>
                <w:bCs/>
                <w:color w:val="052D3F" w:themeColor="accent1"/>
                <w:szCs w:val="44"/>
                <w:lang w:val="en-US"/>
              </w:rPr>
            </w:pPr>
            <w:r>
              <w:rPr>
                <w:rFonts w:ascii="Source Sans Pro" w:eastAsia="Yu Gothic UI" w:hAnsi="Source Sans Pro"/>
                <w:b/>
                <w:bCs/>
                <w:color w:val="052D3F" w:themeColor="accent1"/>
                <w:szCs w:val="44"/>
              </w:rPr>
              <w:t>Amsterdam Noord</w:t>
            </w:r>
          </w:p>
        </w:tc>
        <w:tc>
          <w:tcPr>
            <w:tcW w:w="6946" w:type="dxa"/>
            <w:tcBorders>
              <w:top w:val="single" w:sz="8" w:space="0" w:color="FF5000" w:themeColor="accent6"/>
              <w:left w:val="nil"/>
              <w:bottom w:val="single" w:sz="8" w:space="0" w:color="FF5000" w:themeColor="accent6"/>
              <w:right w:val="nil"/>
            </w:tcBorders>
            <w:vAlign w:val="center"/>
          </w:tcPr>
          <w:p w14:paraId="369A3158" w14:textId="12C45BE6" w:rsidR="007848A7" w:rsidRPr="0006591F" w:rsidRDefault="009A7E4A" w:rsidP="00040450">
            <w:pPr>
              <w:pStyle w:val="TableTitleInTable"/>
              <w:rPr>
                <w:rFonts w:ascii="Source Sans Pro" w:eastAsia="Yu Gothic UI" w:hAnsi="Source Sans Pro"/>
                <w:bCs/>
                <w:color w:val="052D3F"/>
                <w:szCs w:val="44"/>
                <w:lang w:val="en-US"/>
              </w:rPr>
            </w:pPr>
            <w:r w:rsidRPr="009A7E4A">
              <w:rPr>
                <w:rFonts w:ascii="Source Sans Pro" w:eastAsia="Yu Gothic UI" w:hAnsi="Source Sans Pro"/>
                <w:bCs/>
                <w:noProof/>
                <w:color w:val="052D3F"/>
                <w:szCs w:val="44"/>
              </w:rPr>
              <w:drawing>
                <wp:anchor distT="0" distB="0" distL="114300" distR="114300" simplePos="0" relativeHeight="251658259" behindDoc="0" locked="0" layoutInCell="1" allowOverlap="1" wp14:anchorId="16F5F0A6" wp14:editId="76C0535B">
                  <wp:simplePos x="0" y="0"/>
                  <wp:positionH relativeFrom="column">
                    <wp:posOffset>2561590</wp:posOffset>
                  </wp:positionH>
                  <wp:positionV relativeFrom="paragraph">
                    <wp:posOffset>156845</wp:posOffset>
                  </wp:positionV>
                  <wp:extent cx="1757680" cy="1318260"/>
                  <wp:effectExtent l="0" t="0" r="0" b="0"/>
                  <wp:wrapSquare wrapText="bothSides"/>
                  <wp:docPr id="218" name="Picture 2">
                    <a:extLst xmlns:a="http://schemas.openxmlformats.org/drawingml/2006/main">
                      <a:ext uri="{FF2B5EF4-FFF2-40B4-BE49-F238E27FC236}">
                        <a16:creationId xmlns:a16="http://schemas.microsoft.com/office/drawing/2014/main" id="{657FC7E8-A34D-4D26-899A-A5E31898D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57FC7E8-A34D-4D26-899A-A5E31898DF8C}"/>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57680" cy="1318260"/>
                          </a:xfrm>
                          <a:prstGeom prst="rect">
                            <a:avLst/>
                          </a:prstGeom>
                        </pic:spPr>
                      </pic:pic>
                    </a:graphicData>
                  </a:graphic>
                  <wp14:sizeRelH relativeFrom="page">
                    <wp14:pctWidth>0</wp14:pctWidth>
                  </wp14:sizeRelH>
                  <wp14:sizeRelV relativeFrom="page">
                    <wp14:pctHeight>0</wp14:pctHeight>
                  </wp14:sizeRelV>
                </wp:anchor>
              </w:drawing>
            </w:r>
            <w:r w:rsidRPr="009A7E4A">
              <w:rPr>
                <w:rFonts w:ascii="Source Sans Pro" w:eastAsia="Yu Gothic UI" w:hAnsi="Source Sans Pro"/>
                <w:bCs/>
                <w:color w:val="052D3F"/>
                <w:szCs w:val="44"/>
              </w:rPr>
              <w:t xml:space="preserve">15 year strategy to incubate small companies from a variety of sectors with a focus upon specific diversity groups. Civic assets are mixed with business space to promote footfall. ‘Bottom up’ approach has given the area provenance and attracted major HQ investment. The area is also one of the biggest locations in </w:t>
            </w:r>
            <w:r w:rsidR="00040450">
              <w:rPr>
                <w:rFonts w:ascii="Source Sans Pro" w:eastAsia="Yu Gothic UI" w:hAnsi="Source Sans Pro"/>
                <w:bCs/>
                <w:color w:val="052D3F"/>
                <w:szCs w:val="44"/>
              </w:rPr>
              <w:t>t</w:t>
            </w:r>
            <w:r w:rsidRPr="009A7E4A">
              <w:rPr>
                <w:rFonts w:ascii="Source Sans Pro" w:eastAsia="Yu Gothic UI" w:hAnsi="Source Sans Pro"/>
                <w:bCs/>
                <w:color w:val="052D3F"/>
                <w:szCs w:val="44"/>
              </w:rPr>
              <w:t>he city for VC investment</w:t>
            </w:r>
            <w:r w:rsidR="00040450">
              <w:rPr>
                <w:rFonts w:ascii="Source Sans Pro" w:eastAsia="Yu Gothic UI" w:hAnsi="Source Sans Pro"/>
                <w:bCs/>
                <w:color w:val="052D3F"/>
                <w:szCs w:val="44"/>
              </w:rPr>
              <w:t>.</w:t>
            </w:r>
            <w:r>
              <w:rPr>
                <w:rFonts w:ascii="Source Sans Pro" w:eastAsia="Yu Gothic UI" w:hAnsi="Source Sans Pro"/>
                <w:bCs/>
                <w:color w:val="052D3F"/>
                <w:szCs w:val="44"/>
              </w:rPr>
              <w:t xml:space="preserve"> </w:t>
            </w:r>
          </w:p>
        </w:tc>
      </w:tr>
      <w:tr w:rsidR="007848A7" w:rsidRPr="00F72A73" w14:paraId="003509E7" w14:textId="77777777" w:rsidTr="00040450">
        <w:trPr>
          <w:trHeight w:val="243"/>
        </w:trPr>
        <w:tc>
          <w:tcPr>
            <w:tcW w:w="1559" w:type="dxa"/>
            <w:tcBorders>
              <w:top w:val="single" w:sz="8" w:space="0" w:color="FF5000" w:themeColor="accent6"/>
              <w:left w:val="nil"/>
              <w:bottom w:val="single" w:sz="8" w:space="0" w:color="FF5000" w:themeColor="accent6"/>
              <w:right w:val="nil"/>
            </w:tcBorders>
            <w:shd w:val="clear" w:color="auto" w:fill="E9E9EA"/>
            <w:tcMar>
              <w:top w:w="72" w:type="dxa"/>
              <w:left w:w="144" w:type="dxa"/>
              <w:bottom w:w="72" w:type="dxa"/>
              <w:right w:w="144" w:type="dxa"/>
            </w:tcMar>
            <w:vAlign w:val="center"/>
          </w:tcPr>
          <w:p w14:paraId="1204399A" w14:textId="27185497" w:rsidR="007848A7" w:rsidRPr="00004521" w:rsidRDefault="0069573A" w:rsidP="00FA3139">
            <w:pPr>
              <w:pStyle w:val="TableTitleInTable"/>
              <w:rPr>
                <w:rFonts w:ascii="Source Sans Pro" w:eastAsia="Yu Gothic UI" w:hAnsi="Source Sans Pro"/>
                <w:b/>
                <w:bCs/>
                <w:color w:val="052D3F" w:themeColor="accent1"/>
                <w:szCs w:val="44"/>
                <w:lang w:val="en-US"/>
              </w:rPr>
            </w:pPr>
            <w:r w:rsidRPr="0069573A">
              <w:rPr>
                <w:rFonts w:ascii="Source Sans Pro" w:eastAsia="Yu Gothic UI" w:hAnsi="Source Sans Pro"/>
                <w:b/>
                <w:bCs/>
                <w:color w:val="052D3F" w:themeColor="accent1"/>
                <w:szCs w:val="44"/>
              </w:rPr>
              <w:t>Building Bloqs</w:t>
            </w:r>
          </w:p>
        </w:tc>
        <w:tc>
          <w:tcPr>
            <w:tcW w:w="6946" w:type="dxa"/>
            <w:tcBorders>
              <w:top w:val="single" w:sz="8" w:space="0" w:color="FF5000" w:themeColor="accent6"/>
              <w:left w:val="nil"/>
              <w:bottom w:val="single" w:sz="8" w:space="0" w:color="FF5000" w:themeColor="accent6"/>
              <w:right w:val="nil"/>
            </w:tcBorders>
            <w:shd w:val="clear" w:color="auto" w:fill="E9E9EA"/>
            <w:vAlign w:val="center"/>
          </w:tcPr>
          <w:p w14:paraId="13E62C0F" w14:textId="11B20B3D" w:rsidR="007848A7" w:rsidRPr="00143B28" w:rsidRDefault="0069573A" w:rsidP="0069573A">
            <w:pPr>
              <w:pStyle w:val="TableTitleInTable"/>
              <w:rPr>
                <w:rFonts w:ascii="Source Sans Pro" w:eastAsia="Yu Gothic UI" w:hAnsi="Source Sans Pro"/>
                <w:bCs/>
                <w:color w:val="052D3F"/>
                <w:szCs w:val="44"/>
                <w:lang w:val="en-US"/>
              </w:rPr>
            </w:pPr>
            <w:r w:rsidRPr="0069573A">
              <w:rPr>
                <w:rFonts w:ascii="Source Sans Pro" w:eastAsia="Yu Gothic UI" w:hAnsi="Source Sans Pro"/>
                <w:bCs/>
                <w:noProof/>
                <w:color w:val="052D3F"/>
                <w:szCs w:val="44"/>
              </w:rPr>
              <w:drawing>
                <wp:anchor distT="0" distB="0" distL="114300" distR="114300" simplePos="0" relativeHeight="251658260" behindDoc="0" locked="0" layoutInCell="1" allowOverlap="1" wp14:anchorId="3A8D0E4D" wp14:editId="2D29AD06">
                  <wp:simplePos x="0" y="0"/>
                  <wp:positionH relativeFrom="column">
                    <wp:posOffset>2195195</wp:posOffset>
                  </wp:positionH>
                  <wp:positionV relativeFrom="paragraph">
                    <wp:posOffset>79375</wp:posOffset>
                  </wp:positionV>
                  <wp:extent cx="2106930" cy="1105535"/>
                  <wp:effectExtent l="0" t="0" r="7620" b="0"/>
                  <wp:wrapSquare wrapText="bothSides"/>
                  <wp:docPr id="219" name="Picture 25">
                    <a:extLst xmlns:a="http://schemas.openxmlformats.org/drawingml/2006/main">
                      <a:ext uri="{FF2B5EF4-FFF2-40B4-BE49-F238E27FC236}">
                        <a16:creationId xmlns:a16="http://schemas.microsoft.com/office/drawing/2014/main" id="{80E78B5C-A18D-491C-BC45-3EF5B28D7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80E78B5C-A18D-491C-BC45-3EF5B28D71D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06930" cy="1105535"/>
                          </a:xfrm>
                          <a:prstGeom prst="rect">
                            <a:avLst/>
                          </a:prstGeom>
                        </pic:spPr>
                      </pic:pic>
                    </a:graphicData>
                  </a:graphic>
                  <wp14:sizeRelH relativeFrom="page">
                    <wp14:pctWidth>0</wp14:pctWidth>
                  </wp14:sizeRelH>
                  <wp14:sizeRelV relativeFrom="page">
                    <wp14:pctHeight>0</wp14:pctHeight>
                  </wp14:sizeRelV>
                </wp:anchor>
              </w:drawing>
            </w:r>
            <w:r w:rsidRPr="0069573A">
              <w:rPr>
                <w:rFonts w:ascii="Source Sans Pro" w:eastAsia="Yu Gothic UI" w:hAnsi="Source Sans Pro"/>
                <w:bCs/>
                <w:color w:val="052D3F"/>
                <w:szCs w:val="44"/>
              </w:rPr>
              <w:t>Building Bloqs is an open access maker space in Enfield. Working on a membership model, there are spaces for wood work, a foundry for metal work, Fashion space and Kitchen facilities. This reduced the risk and capital costs for business, whilst creating a community of like minded companies who can provide and benefit from peer to peer support</w:t>
            </w:r>
            <w:r>
              <w:rPr>
                <w:rFonts w:ascii="Source Sans Pro" w:eastAsia="Yu Gothic UI" w:hAnsi="Source Sans Pro"/>
                <w:bCs/>
                <w:color w:val="052D3F"/>
                <w:szCs w:val="44"/>
              </w:rPr>
              <w:t>.</w:t>
            </w:r>
            <w:r w:rsidRPr="0069573A">
              <w:rPr>
                <w:noProof/>
              </w:rPr>
              <w:t xml:space="preserve"> </w:t>
            </w:r>
          </w:p>
        </w:tc>
      </w:tr>
    </w:tbl>
    <w:p w14:paraId="7CFEDD8C" w14:textId="77777777" w:rsidR="00977B6D" w:rsidRDefault="00977B6D" w:rsidP="00977B6D">
      <w:pPr>
        <w:pStyle w:val="Heading5"/>
      </w:pPr>
      <w:r>
        <w:br w:type="page"/>
      </w:r>
    </w:p>
    <w:p w14:paraId="0AF1D1F2" w14:textId="461A60C2" w:rsidR="00D85459" w:rsidRDefault="001D5200" w:rsidP="00FA3139">
      <w:pPr>
        <w:pStyle w:val="Heading1"/>
      </w:pPr>
      <w:bookmarkStart w:id="46" w:name="_Toc25937443"/>
      <w:r>
        <w:lastRenderedPageBreak/>
        <w:t>Building</w:t>
      </w:r>
      <w:r w:rsidR="002449F7">
        <w:t xml:space="preserve"> Local Distinctiveness</w:t>
      </w:r>
      <w:bookmarkEnd w:id="46"/>
    </w:p>
    <w:p w14:paraId="25DE1BF5" w14:textId="19AF1DAF" w:rsidR="003F7053" w:rsidRDefault="0000094B" w:rsidP="00377B45">
      <w:pPr>
        <w:pStyle w:val="RDTier2"/>
        <w:ind w:left="720"/>
        <w:rPr>
          <w:iCs/>
          <w:color w:val="F19387"/>
          <w:sz w:val="28"/>
          <w:szCs w:val="28"/>
        </w:rPr>
      </w:pPr>
      <w:r>
        <w:rPr>
          <w:iCs/>
          <w:color w:val="F19387"/>
          <w:sz w:val="28"/>
          <w:szCs w:val="28"/>
        </w:rPr>
        <w:t>The</w:t>
      </w:r>
      <w:r w:rsidR="009836FE">
        <w:rPr>
          <w:iCs/>
          <w:color w:val="F19387"/>
          <w:sz w:val="28"/>
          <w:szCs w:val="28"/>
        </w:rPr>
        <w:t xml:space="preserve"> Royal Docks </w:t>
      </w:r>
      <w:r>
        <w:rPr>
          <w:iCs/>
          <w:color w:val="F19387"/>
          <w:sz w:val="28"/>
          <w:szCs w:val="28"/>
        </w:rPr>
        <w:t xml:space="preserve">comprises a number of distinct neighbourhoods and </w:t>
      </w:r>
      <w:r w:rsidR="000A52CF">
        <w:rPr>
          <w:iCs/>
          <w:color w:val="F19387"/>
          <w:sz w:val="28"/>
          <w:szCs w:val="28"/>
        </w:rPr>
        <w:t>eme</w:t>
      </w:r>
      <w:r w:rsidR="00AD031E">
        <w:rPr>
          <w:iCs/>
          <w:color w:val="F19387"/>
          <w:sz w:val="28"/>
          <w:szCs w:val="28"/>
        </w:rPr>
        <w:t xml:space="preserve">rging hubs of activity. </w:t>
      </w:r>
      <w:r w:rsidR="00A96C25">
        <w:rPr>
          <w:iCs/>
          <w:color w:val="F19387"/>
          <w:sz w:val="28"/>
          <w:szCs w:val="28"/>
        </w:rPr>
        <w:t xml:space="preserve">Delivery and investment will need to recognise and enhance local distinctiveness, tailoring the response to local contexts and opportunities. </w:t>
      </w:r>
    </w:p>
    <w:p w14:paraId="77F4CDF9" w14:textId="2998755E" w:rsidR="002449F7" w:rsidRDefault="00000CAD" w:rsidP="00000CAD">
      <w:pPr>
        <w:pStyle w:val="RDTier2"/>
        <w:ind w:left="720"/>
      </w:pPr>
      <w:r>
        <w:t>Focusing Delivery within</w:t>
      </w:r>
      <w:r w:rsidR="002449F7">
        <w:t xml:space="preserve"> The Royals Docks Places and Asset</w:t>
      </w:r>
      <w:r>
        <w:t>s</w:t>
      </w:r>
    </w:p>
    <w:p w14:paraId="35674013" w14:textId="587931CC" w:rsidR="00A5503A" w:rsidRDefault="00A5503A" w:rsidP="007C0CF8">
      <w:pPr>
        <w:pStyle w:val="RDParagraph"/>
      </w:pPr>
      <w:r>
        <w:t>Covering an area of over 1,000 hectares</w:t>
      </w:r>
      <w:r w:rsidR="0033159B">
        <w:t xml:space="preserve"> and with a distance of over </w:t>
      </w:r>
      <w:r w:rsidR="00C44A8B">
        <w:t xml:space="preserve">2.5 </w:t>
      </w:r>
      <w:r w:rsidR="0033159B">
        <w:t>mile</w:t>
      </w:r>
      <w:r w:rsidR="00C44A8B">
        <w:t>s</w:t>
      </w:r>
      <w:r w:rsidR="0033159B">
        <w:t xml:space="preserve"> from </w:t>
      </w:r>
      <w:r w:rsidR="0098632D">
        <w:t xml:space="preserve">the Crystal on the </w:t>
      </w:r>
      <w:r w:rsidR="00BE7D2C">
        <w:t>western</w:t>
      </w:r>
      <w:r w:rsidR="0098632D">
        <w:t xml:space="preserve"> edge of the area to the </w:t>
      </w:r>
      <w:r w:rsidR="008819DB">
        <w:t>Albert Island on the eastern edge</w:t>
      </w:r>
      <w:r>
        <w:t xml:space="preserve">, the Royal Docks </w:t>
      </w:r>
      <w:r w:rsidR="008C19FF">
        <w:t>and Beckton Opportunity Area</w:t>
      </w:r>
      <w:r w:rsidR="005A6F20">
        <w:t xml:space="preserve">, </w:t>
      </w:r>
      <w:r w:rsidR="002E2AFE">
        <w:t xml:space="preserve">is not a single spatial or economic entity. </w:t>
      </w:r>
      <w:r w:rsidR="007C0CF8">
        <w:t xml:space="preserve">There </w:t>
      </w:r>
      <w:r w:rsidR="002E2AFE">
        <w:t>exist</w:t>
      </w:r>
      <w:r w:rsidR="00A85496">
        <w:t>s</w:t>
      </w:r>
      <w:r w:rsidR="002E2AFE">
        <w:t xml:space="preserve"> a number of residential and economic locations which are distinct in </w:t>
      </w:r>
      <w:r w:rsidR="0089418B">
        <w:t xml:space="preserve">their current characteristics, and in terms of their future opportunity and </w:t>
      </w:r>
      <w:r w:rsidR="00953CA5">
        <w:t xml:space="preserve">potential. </w:t>
      </w:r>
    </w:p>
    <w:p w14:paraId="1C8133E2" w14:textId="70CD3445" w:rsidR="00074330" w:rsidRDefault="009A1053" w:rsidP="004C1BB4">
      <w:pPr>
        <w:pStyle w:val="RDParagraph"/>
      </w:pPr>
      <w:r>
        <w:t xml:space="preserve">Three </w:t>
      </w:r>
      <w:r w:rsidR="00AB291D">
        <w:t xml:space="preserve">spatial and economic tiers have been </w:t>
      </w:r>
      <w:r w:rsidR="00E11EC6">
        <w:t xml:space="preserve">identified within the Royal Docks; </w:t>
      </w:r>
      <w:r w:rsidR="005D49F2">
        <w:t>these are mapped in Figure 1.1 (Chapter 1) and</w:t>
      </w:r>
      <w:r w:rsidR="00074330">
        <w:t xml:space="preserve"> provide an initial filter via which to better define and tailor the response:</w:t>
      </w:r>
    </w:p>
    <w:p w14:paraId="1498680F" w14:textId="01B6714D" w:rsidR="004C1BB4" w:rsidRPr="005E37EF" w:rsidRDefault="004C1BB4" w:rsidP="0056155D">
      <w:pPr>
        <w:pStyle w:val="RDnumber"/>
        <w:numPr>
          <w:ilvl w:val="0"/>
          <w:numId w:val="34"/>
        </w:numPr>
        <w:ind w:left="1040"/>
        <w:rPr>
          <w:rFonts w:eastAsia="Yu Gothic UI"/>
          <w:b w:val="0"/>
          <w:lang w:val="en-US"/>
        </w:rPr>
      </w:pPr>
      <w:r w:rsidRPr="005E37EF">
        <w:rPr>
          <w:rFonts w:eastAsia="Yu Gothic UI"/>
        </w:rPr>
        <w:t xml:space="preserve">New </w:t>
      </w:r>
      <w:r w:rsidR="001169D1" w:rsidRPr="005E37EF">
        <w:t>E</w:t>
      </w:r>
      <w:r w:rsidRPr="005E37EF">
        <w:rPr>
          <w:rFonts w:eastAsia="Yu Gothic UI"/>
        </w:rPr>
        <w:t xml:space="preserve">conomic </w:t>
      </w:r>
      <w:r w:rsidR="001169D1" w:rsidRPr="005E37EF">
        <w:t>H</w:t>
      </w:r>
      <w:r w:rsidRPr="005E37EF">
        <w:rPr>
          <w:rFonts w:eastAsia="Yu Gothic UI"/>
        </w:rPr>
        <w:t>ubs</w:t>
      </w:r>
      <w:r w:rsidR="001169D1" w:rsidRPr="005E37EF">
        <w:t>:</w:t>
      </w:r>
      <w:r w:rsidRPr="005E37EF">
        <w:rPr>
          <w:rFonts w:eastAsia="Yu Gothic UI"/>
          <w:b w:val="0"/>
        </w:rPr>
        <w:t xml:space="preserve"> </w:t>
      </w:r>
      <w:r w:rsidR="00DF13A4" w:rsidRPr="005E37EF">
        <w:rPr>
          <w:b w:val="0"/>
        </w:rPr>
        <w:t xml:space="preserve">new and </w:t>
      </w:r>
      <w:r w:rsidR="00125396" w:rsidRPr="005E37EF">
        <w:rPr>
          <w:b w:val="0"/>
        </w:rPr>
        <w:t xml:space="preserve">emerging </w:t>
      </w:r>
      <w:r w:rsidR="0031676A" w:rsidRPr="005E37EF">
        <w:rPr>
          <w:b w:val="0"/>
        </w:rPr>
        <w:t>development</w:t>
      </w:r>
      <w:r w:rsidR="006F4DAE" w:rsidRPr="005E37EF">
        <w:rPr>
          <w:b w:val="0"/>
        </w:rPr>
        <w:t xml:space="preserve">s including Royal Victoria, Connaught, Royal Albert Dock, Albert Island, Silvertown. </w:t>
      </w:r>
      <w:r w:rsidR="005E37EF" w:rsidRPr="005E37EF">
        <w:rPr>
          <w:b w:val="0"/>
        </w:rPr>
        <w:t>T</w:t>
      </w:r>
      <w:r w:rsidR="00A13A82" w:rsidRPr="005E37EF">
        <w:rPr>
          <w:b w:val="0"/>
        </w:rPr>
        <w:t>he focal point for future economic growth and employment</w:t>
      </w:r>
      <w:r w:rsidR="005E37EF" w:rsidRPr="005E37EF">
        <w:rPr>
          <w:b w:val="0"/>
        </w:rPr>
        <w:t xml:space="preserve"> within the Royal Docks.</w:t>
      </w:r>
      <w:r w:rsidRPr="005E37EF">
        <w:rPr>
          <w:rFonts w:eastAsia="Yu Gothic UI"/>
          <w:b w:val="0"/>
        </w:rPr>
        <w:t xml:space="preserve"> </w:t>
      </w:r>
    </w:p>
    <w:p w14:paraId="35DCB2C2" w14:textId="0D584105" w:rsidR="004C1BB4" w:rsidRPr="005E37EF" w:rsidRDefault="004C1BB4" w:rsidP="004A47E7">
      <w:pPr>
        <w:pStyle w:val="RDnumber"/>
        <w:rPr>
          <w:rFonts w:eastAsia="Yu Gothic UI"/>
          <w:b w:val="0"/>
          <w:lang w:val="en-US"/>
        </w:rPr>
      </w:pPr>
      <w:r w:rsidRPr="005E37EF">
        <w:rPr>
          <w:rFonts w:eastAsia="Yu Gothic UI"/>
        </w:rPr>
        <w:t>Amenity Centres</w:t>
      </w:r>
      <w:r w:rsidR="001169D1" w:rsidRPr="005E37EF">
        <w:t>:</w:t>
      </w:r>
      <w:r w:rsidR="00DC0365" w:rsidRPr="005E37EF">
        <w:rPr>
          <w:b w:val="0"/>
        </w:rPr>
        <w:t xml:space="preserve"> the existing neighbourhood hubs of North Woolwich, </w:t>
      </w:r>
      <w:r w:rsidR="00C33528" w:rsidRPr="005E37EF">
        <w:rPr>
          <w:b w:val="0"/>
        </w:rPr>
        <w:t>Canning Town</w:t>
      </w:r>
      <w:r w:rsidR="00DB76D1" w:rsidRPr="005E37EF">
        <w:rPr>
          <w:b w:val="0"/>
        </w:rPr>
        <w:t xml:space="preserve"> and Custom House</w:t>
      </w:r>
      <w:r w:rsidR="001E17DF" w:rsidRPr="005E37EF">
        <w:rPr>
          <w:b w:val="0"/>
        </w:rPr>
        <w:t xml:space="preserve">. A focus on </w:t>
      </w:r>
      <w:r w:rsidRPr="005E37EF">
        <w:rPr>
          <w:rFonts w:eastAsia="Yu Gothic UI"/>
          <w:b w:val="0"/>
        </w:rPr>
        <w:t>building physical, economic and social connections</w:t>
      </w:r>
      <w:r w:rsidR="001E17DF" w:rsidRPr="005E37EF">
        <w:rPr>
          <w:rFonts w:eastAsia="Yu Gothic UI"/>
          <w:b w:val="0"/>
        </w:rPr>
        <w:t xml:space="preserve"> between these </w:t>
      </w:r>
      <w:r w:rsidR="00DF0DBB" w:rsidRPr="005E37EF">
        <w:rPr>
          <w:rFonts w:eastAsia="Yu Gothic UI"/>
          <w:b w:val="0"/>
        </w:rPr>
        <w:t xml:space="preserve">and new and emerging opportunities. </w:t>
      </w:r>
    </w:p>
    <w:p w14:paraId="6EC295DD" w14:textId="7E584989" w:rsidR="004C1BB4" w:rsidRPr="005E37EF" w:rsidRDefault="002A0FB9" w:rsidP="004A47E7">
      <w:pPr>
        <w:pStyle w:val="RDnumber"/>
        <w:rPr>
          <w:rFonts w:eastAsia="Yu Gothic UI"/>
          <w:b w:val="0"/>
          <w:lang w:val="en-US"/>
        </w:rPr>
      </w:pPr>
      <w:r w:rsidRPr="005E37EF">
        <w:rPr>
          <w:rFonts w:eastAsia="Yu Gothic UI"/>
        </w:rPr>
        <w:t xml:space="preserve">Economic </w:t>
      </w:r>
      <w:r w:rsidR="004C1BB4" w:rsidRPr="005E37EF">
        <w:rPr>
          <w:rFonts w:eastAsia="Yu Gothic UI"/>
        </w:rPr>
        <w:t>Assets:</w:t>
      </w:r>
      <w:r w:rsidR="004C1BB4" w:rsidRPr="005E37EF">
        <w:rPr>
          <w:rFonts w:eastAsia="Yu Gothic UI"/>
          <w:b w:val="0"/>
        </w:rPr>
        <w:t xml:space="preserve"> </w:t>
      </w:r>
      <w:r w:rsidR="00DF0DBB" w:rsidRPr="005E37EF">
        <w:rPr>
          <w:rFonts w:eastAsia="Yu Gothic UI"/>
          <w:b w:val="0"/>
        </w:rPr>
        <w:t xml:space="preserve">the </w:t>
      </w:r>
      <w:r w:rsidRPr="005E37EF">
        <w:rPr>
          <w:rFonts w:eastAsia="Yu Gothic UI"/>
          <w:b w:val="0"/>
        </w:rPr>
        <w:t xml:space="preserve">existing economic anchors </w:t>
      </w:r>
      <w:r w:rsidR="00B466FD" w:rsidRPr="005E37EF">
        <w:rPr>
          <w:rFonts w:eastAsia="Yu Gothic UI"/>
          <w:b w:val="0"/>
        </w:rPr>
        <w:t>which un</w:t>
      </w:r>
      <w:r w:rsidR="00724AD3" w:rsidRPr="005E37EF">
        <w:rPr>
          <w:rFonts w:eastAsia="Yu Gothic UI"/>
          <w:b w:val="0"/>
        </w:rPr>
        <w:t xml:space="preserve">derpin the local economy, including City Airport, Excel, </w:t>
      </w:r>
      <w:r w:rsidR="0085324B" w:rsidRPr="005E37EF">
        <w:rPr>
          <w:rFonts w:eastAsia="Yu Gothic UI"/>
          <w:b w:val="0"/>
        </w:rPr>
        <w:t xml:space="preserve">and the University of East London. </w:t>
      </w:r>
      <w:r w:rsidR="00C327F9" w:rsidRPr="005E37EF">
        <w:rPr>
          <w:rFonts w:eastAsia="Yu Gothic UI"/>
          <w:b w:val="0"/>
        </w:rPr>
        <w:t xml:space="preserve">A focus on </w:t>
      </w:r>
      <w:r w:rsidR="004C1BB4" w:rsidRPr="005E37EF">
        <w:rPr>
          <w:rFonts w:eastAsia="Yu Gothic UI"/>
          <w:b w:val="0"/>
        </w:rPr>
        <w:t>embedding</w:t>
      </w:r>
      <w:r w:rsidR="00DF13A4" w:rsidRPr="005E37EF">
        <w:rPr>
          <w:rFonts w:eastAsia="Yu Gothic UI"/>
          <w:b w:val="0"/>
        </w:rPr>
        <w:t xml:space="preserve"> these within the evolution of the area,</w:t>
      </w:r>
      <w:r w:rsidR="004C1BB4" w:rsidRPr="005E37EF">
        <w:rPr>
          <w:rFonts w:eastAsia="Yu Gothic UI"/>
          <w:b w:val="0"/>
        </w:rPr>
        <w:t xml:space="preserve"> and maximising </w:t>
      </w:r>
      <w:r w:rsidR="00DF13A4" w:rsidRPr="005E37EF">
        <w:rPr>
          <w:rFonts w:eastAsia="Yu Gothic UI"/>
          <w:b w:val="0"/>
        </w:rPr>
        <w:t xml:space="preserve">the role they plan in delivering </w:t>
      </w:r>
      <w:r w:rsidR="004C1BB4" w:rsidRPr="005E37EF">
        <w:rPr>
          <w:rFonts w:eastAsia="Yu Gothic UI"/>
          <w:b w:val="0"/>
        </w:rPr>
        <w:t xml:space="preserve">local and city value. </w:t>
      </w:r>
    </w:p>
    <w:p w14:paraId="0CA21806" w14:textId="77777777" w:rsidR="005D49F2" w:rsidRDefault="005D49F2" w:rsidP="005D49F2">
      <w:pPr>
        <w:pStyle w:val="RDParagraph"/>
      </w:pPr>
      <w:r w:rsidRPr="005D49F2">
        <w:t xml:space="preserve">Focal points for investment across the Royal Docks’ places and assets are summarised in the table </w:t>
      </w:r>
      <w:r>
        <w:t>overleaf</w:t>
      </w:r>
      <w:r w:rsidRPr="005D49F2">
        <w:t xml:space="preserve"> and then explored in more detail in the rest of this chapter</w:t>
      </w:r>
      <w:r w:rsidR="005E37EF" w:rsidRPr="005D49F2">
        <w:t>.</w:t>
      </w:r>
      <w:r w:rsidR="004F26B8">
        <w:t xml:space="preserve"> </w:t>
      </w:r>
      <w:r>
        <w:t>Again, it is important to note that while the focus is on activities explicitly linked to the Economy theme, there are obvious overlaps with wider areas of investment being developed for the other theme area.</w:t>
      </w:r>
    </w:p>
    <w:p w14:paraId="6E385CC0" w14:textId="6EFF4EF3" w:rsidR="005D49F2" w:rsidRPr="005D49F2" w:rsidRDefault="005D49F2" w:rsidP="005D49F2">
      <w:pPr>
        <w:pStyle w:val="RDParagraph"/>
      </w:pPr>
      <w:r w:rsidRPr="005D49F2">
        <w:t>The intention is that this initial mapping of ideas form the basis for the creation of a new and ever evolving pipeline of projects, developed and delivered in partnership within the community and wider partners across the area.</w:t>
      </w:r>
    </w:p>
    <w:p w14:paraId="71114EA3" w14:textId="77777777" w:rsidR="00F84E16" w:rsidRDefault="00F84E16" w:rsidP="00754E83">
      <w:pPr>
        <w:spacing w:after="0"/>
        <w:rPr>
          <w:rFonts w:ascii="Source Sans Pro" w:hAnsi="Source Sans Pro"/>
          <w:b/>
          <w:i/>
          <w:color w:val="052D3F"/>
          <w:highlight w:val="yellow"/>
        </w:rPr>
      </w:pPr>
      <w:r>
        <w:rPr>
          <w:rFonts w:ascii="Source Sans Pro" w:hAnsi="Source Sans Pro"/>
          <w:b/>
          <w:i/>
          <w:color w:val="052D3F"/>
          <w:highlight w:val="yellow"/>
        </w:rPr>
        <w:br w:type="page"/>
      </w:r>
    </w:p>
    <w:p w14:paraId="2591A68F" w14:textId="50956F69" w:rsidR="00754E83" w:rsidRPr="005D49F2" w:rsidRDefault="00754E83" w:rsidP="00754E83">
      <w:pPr>
        <w:spacing w:after="0"/>
        <w:rPr>
          <w:i/>
          <w:sz w:val="24"/>
        </w:rPr>
      </w:pPr>
      <w:r w:rsidRPr="005D49F2">
        <w:rPr>
          <w:rFonts w:ascii="Source Sans Pro" w:hAnsi="Source Sans Pro"/>
          <w:b/>
          <w:i/>
          <w:color w:val="052D3F"/>
        </w:rPr>
        <w:lastRenderedPageBreak/>
        <w:t xml:space="preserve">Figure </w:t>
      </w:r>
      <w:r w:rsidR="00603205">
        <w:rPr>
          <w:rFonts w:ascii="Source Sans Pro" w:hAnsi="Source Sans Pro"/>
          <w:b/>
          <w:i/>
          <w:color w:val="052D3F"/>
        </w:rPr>
        <w:t>5</w:t>
      </w:r>
      <w:r w:rsidRPr="005D49F2">
        <w:rPr>
          <w:rFonts w:ascii="Source Sans Pro" w:hAnsi="Source Sans Pro"/>
          <w:b/>
          <w:i/>
          <w:color w:val="052D3F"/>
        </w:rPr>
        <w:t xml:space="preserve">.1. </w:t>
      </w:r>
      <w:r w:rsidR="00D9550F">
        <w:rPr>
          <w:rFonts w:ascii="Source Sans Pro" w:hAnsi="Source Sans Pro"/>
          <w:b/>
          <w:i/>
          <w:color w:val="052D3F"/>
        </w:rPr>
        <w:t>Indicative Focal</w:t>
      </w:r>
      <w:r w:rsidR="003F16F1">
        <w:rPr>
          <w:rFonts w:ascii="Source Sans Pro" w:hAnsi="Source Sans Pro"/>
          <w:b/>
          <w:i/>
          <w:color w:val="052D3F"/>
        </w:rPr>
        <w:t xml:space="preserve"> Points</w:t>
      </w:r>
      <w:r w:rsidRPr="005D49F2">
        <w:rPr>
          <w:rFonts w:ascii="Source Sans Pro" w:hAnsi="Source Sans Pro"/>
          <w:b/>
          <w:i/>
          <w:color w:val="052D3F"/>
        </w:rPr>
        <w:t xml:space="preserve"> for ‘Economy’ Investment by Place, Asset and Project Area</w:t>
      </w:r>
    </w:p>
    <w:tbl>
      <w:tblPr>
        <w:tblW w:w="9432" w:type="dxa"/>
        <w:tblLayout w:type="fixed"/>
        <w:tblCellMar>
          <w:left w:w="0" w:type="dxa"/>
          <w:right w:w="0" w:type="dxa"/>
        </w:tblCellMar>
        <w:tblLook w:val="0420" w:firstRow="1" w:lastRow="0" w:firstColumn="0" w:lastColumn="0" w:noHBand="0" w:noVBand="1"/>
      </w:tblPr>
      <w:tblGrid>
        <w:gridCol w:w="1260"/>
        <w:gridCol w:w="2070"/>
        <w:gridCol w:w="1980"/>
        <w:gridCol w:w="2022"/>
        <w:gridCol w:w="2100"/>
      </w:tblGrid>
      <w:tr w:rsidR="00754E83" w:rsidRPr="005D49F2" w14:paraId="131B183F" w14:textId="77777777" w:rsidTr="0097080E">
        <w:trPr>
          <w:cantSplit/>
          <w:trHeight w:val="163"/>
        </w:trPr>
        <w:tc>
          <w:tcPr>
            <w:tcW w:w="1260" w:type="dxa"/>
            <w:tcBorders>
              <w:top w:val="single" w:sz="18" w:space="0" w:color="08445E" w:themeColor="accent2"/>
              <w:left w:val="nil"/>
              <w:bottom w:val="single" w:sz="18" w:space="0" w:color="08445E" w:themeColor="accent2"/>
              <w:right w:val="nil"/>
            </w:tcBorders>
            <w:shd w:val="clear" w:color="auto" w:fill="E9E9EA"/>
            <w:tcMar>
              <w:top w:w="72" w:type="dxa"/>
              <w:left w:w="144" w:type="dxa"/>
              <w:bottom w:w="72" w:type="dxa"/>
              <w:right w:w="144" w:type="dxa"/>
            </w:tcMar>
            <w:vAlign w:val="center"/>
          </w:tcPr>
          <w:p w14:paraId="5FAF8381" w14:textId="77777777" w:rsidR="00754E83" w:rsidRPr="003064C5" w:rsidRDefault="00754E83" w:rsidP="00832E59">
            <w:pPr>
              <w:pStyle w:val="TableTitleInTable"/>
              <w:rPr>
                <w:sz w:val="16"/>
              </w:rPr>
            </w:pPr>
          </w:p>
        </w:tc>
        <w:tc>
          <w:tcPr>
            <w:tcW w:w="2070" w:type="dxa"/>
            <w:tcBorders>
              <w:top w:val="single" w:sz="18" w:space="0" w:color="08445E" w:themeColor="accent2"/>
              <w:left w:val="nil"/>
              <w:bottom w:val="single" w:sz="18" w:space="0" w:color="08445E" w:themeColor="accent2"/>
              <w:right w:val="nil"/>
            </w:tcBorders>
            <w:shd w:val="clear" w:color="auto" w:fill="E9E9EA"/>
          </w:tcPr>
          <w:p w14:paraId="6B54D79C" w14:textId="77777777" w:rsidR="00754E83" w:rsidRPr="003064C5" w:rsidRDefault="00754E83" w:rsidP="00832E59">
            <w:pPr>
              <w:pStyle w:val="TableTitleInTable"/>
              <w:jc w:val="center"/>
              <w:rPr>
                <w:color w:val="FF5000" w:themeColor="accent6"/>
                <w:sz w:val="16"/>
              </w:rPr>
            </w:pPr>
            <w:r w:rsidRPr="003064C5">
              <w:rPr>
                <w:color w:val="FF5000" w:themeColor="accent6"/>
                <w:sz w:val="16"/>
              </w:rPr>
              <w:t xml:space="preserve">EDO 1 – </w:t>
            </w:r>
          </w:p>
          <w:p w14:paraId="30E05D28" w14:textId="77777777" w:rsidR="00754E83" w:rsidRPr="003064C5" w:rsidRDefault="00754E83" w:rsidP="00832E59">
            <w:pPr>
              <w:pStyle w:val="TableTitleInTable"/>
              <w:jc w:val="center"/>
              <w:rPr>
                <w:color w:val="FF5000" w:themeColor="accent6"/>
                <w:sz w:val="16"/>
              </w:rPr>
            </w:pPr>
            <w:r w:rsidRPr="003064C5">
              <w:rPr>
                <w:color w:val="FF5000" w:themeColor="accent6"/>
                <w:sz w:val="16"/>
              </w:rPr>
              <w:t>Good Growth Fund</w:t>
            </w:r>
          </w:p>
        </w:tc>
        <w:tc>
          <w:tcPr>
            <w:tcW w:w="1980" w:type="dxa"/>
            <w:tcBorders>
              <w:top w:val="single" w:sz="18" w:space="0" w:color="08445E" w:themeColor="accent2"/>
              <w:left w:val="nil"/>
              <w:bottom w:val="single" w:sz="18" w:space="0" w:color="08445E" w:themeColor="accent2"/>
              <w:right w:val="nil"/>
            </w:tcBorders>
            <w:shd w:val="clear" w:color="auto" w:fill="E9E9EA"/>
            <w:tcMar>
              <w:top w:w="72" w:type="dxa"/>
              <w:left w:w="144" w:type="dxa"/>
              <w:bottom w:w="72" w:type="dxa"/>
              <w:right w:w="144" w:type="dxa"/>
            </w:tcMar>
          </w:tcPr>
          <w:p w14:paraId="2A628726" w14:textId="77777777" w:rsidR="00754E83" w:rsidRPr="003064C5" w:rsidRDefault="00754E83" w:rsidP="00832E59">
            <w:pPr>
              <w:pStyle w:val="TableTitleInTable"/>
              <w:jc w:val="center"/>
              <w:rPr>
                <w:color w:val="FF5000" w:themeColor="accent6"/>
                <w:sz w:val="16"/>
              </w:rPr>
            </w:pPr>
            <w:r w:rsidRPr="003064C5">
              <w:rPr>
                <w:color w:val="FF5000" w:themeColor="accent6"/>
                <w:sz w:val="16"/>
              </w:rPr>
              <w:t xml:space="preserve">EDO 2- </w:t>
            </w:r>
          </w:p>
          <w:p w14:paraId="20E77873" w14:textId="02B15C64" w:rsidR="00754E83" w:rsidRPr="003064C5" w:rsidRDefault="00754E83" w:rsidP="00832E59">
            <w:pPr>
              <w:pStyle w:val="TableTitleInTable"/>
              <w:jc w:val="center"/>
              <w:rPr>
                <w:color w:val="FF5000" w:themeColor="accent6"/>
                <w:sz w:val="16"/>
              </w:rPr>
            </w:pPr>
            <w:r w:rsidRPr="003064C5">
              <w:rPr>
                <w:color w:val="FF5000" w:themeColor="accent6"/>
                <w:sz w:val="16"/>
              </w:rPr>
              <w:t>Emp</w:t>
            </w:r>
            <w:r w:rsidR="00806F48" w:rsidRPr="003064C5">
              <w:rPr>
                <w:color w:val="FF5000" w:themeColor="accent6"/>
                <w:sz w:val="16"/>
              </w:rPr>
              <w:t>.</w:t>
            </w:r>
            <w:r w:rsidRPr="003064C5">
              <w:rPr>
                <w:color w:val="FF5000" w:themeColor="accent6"/>
                <w:sz w:val="16"/>
              </w:rPr>
              <w:t xml:space="preserve">&amp; Skills </w:t>
            </w:r>
          </w:p>
        </w:tc>
        <w:tc>
          <w:tcPr>
            <w:tcW w:w="2022" w:type="dxa"/>
            <w:tcBorders>
              <w:top w:val="single" w:sz="18" w:space="0" w:color="08445E" w:themeColor="accent2"/>
              <w:left w:val="nil"/>
              <w:bottom w:val="single" w:sz="18" w:space="0" w:color="08445E" w:themeColor="accent2"/>
              <w:right w:val="nil"/>
            </w:tcBorders>
            <w:shd w:val="clear" w:color="auto" w:fill="E9E9EA"/>
          </w:tcPr>
          <w:p w14:paraId="6B049DBB" w14:textId="77777777" w:rsidR="00754E83" w:rsidRPr="003064C5" w:rsidRDefault="00754E83" w:rsidP="00832E59">
            <w:pPr>
              <w:pStyle w:val="TableTitleInTable"/>
              <w:jc w:val="center"/>
              <w:rPr>
                <w:color w:val="FF5000" w:themeColor="accent6"/>
                <w:sz w:val="16"/>
              </w:rPr>
            </w:pPr>
            <w:r w:rsidRPr="003064C5">
              <w:rPr>
                <w:color w:val="FF5000" w:themeColor="accent6"/>
                <w:sz w:val="16"/>
              </w:rPr>
              <w:t xml:space="preserve">EDO3 – </w:t>
            </w:r>
          </w:p>
          <w:p w14:paraId="2B23F37D" w14:textId="77777777" w:rsidR="00754E83" w:rsidRPr="003064C5" w:rsidRDefault="00754E83" w:rsidP="00832E59">
            <w:pPr>
              <w:pStyle w:val="TableTitleInTable"/>
              <w:jc w:val="center"/>
              <w:rPr>
                <w:color w:val="FF5000" w:themeColor="accent6"/>
                <w:sz w:val="16"/>
              </w:rPr>
            </w:pPr>
            <w:r w:rsidRPr="003064C5">
              <w:rPr>
                <w:color w:val="FF5000" w:themeColor="accent6"/>
                <w:sz w:val="16"/>
              </w:rPr>
              <w:t>Business Support</w:t>
            </w:r>
          </w:p>
        </w:tc>
        <w:tc>
          <w:tcPr>
            <w:tcW w:w="2100" w:type="dxa"/>
            <w:tcBorders>
              <w:top w:val="single" w:sz="18" w:space="0" w:color="08445E" w:themeColor="accent2"/>
              <w:left w:val="nil"/>
              <w:bottom w:val="single" w:sz="18" w:space="0" w:color="08445E" w:themeColor="accent2"/>
              <w:right w:val="nil"/>
            </w:tcBorders>
            <w:shd w:val="clear" w:color="auto" w:fill="E9E9EA"/>
          </w:tcPr>
          <w:p w14:paraId="1D40D343" w14:textId="77777777" w:rsidR="00754E83" w:rsidRPr="003064C5" w:rsidRDefault="00754E83" w:rsidP="00832E59">
            <w:pPr>
              <w:pStyle w:val="TableTitleInTable"/>
              <w:jc w:val="center"/>
              <w:rPr>
                <w:color w:val="FF5000" w:themeColor="accent6"/>
                <w:sz w:val="16"/>
              </w:rPr>
            </w:pPr>
            <w:r w:rsidRPr="003064C5">
              <w:rPr>
                <w:color w:val="FF5000" w:themeColor="accent6"/>
                <w:sz w:val="16"/>
              </w:rPr>
              <w:t xml:space="preserve">EDO 4 – </w:t>
            </w:r>
          </w:p>
          <w:p w14:paraId="5AF56471" w14:textId="77777777" w:rsidR="00754E83" w:rsidRPr="003064C5" w:rsidRDefault="00754E83" w:rsidP="00832E59">
            <w:pPr>
              <w:pStyle w:val="TableTitleInTable"/>
              <w:jc w:val="center"/>
              <w:rPr>
                <w:color w:val="FF5000" w:themeColor="accent6"/>
                <w:sz w:val="16"/>
              </w:rPr>
            </w:pPr>
            <w:r w:rsidRPr="003064C5">
              <w:rPr>
                <w:color w:val="FF5000" w:themeColor="accent6"/>
                <w:sz w:val="16"/>
              </w:rPr>
              <w:t>Workspace</w:t>
            </w:r>
          </w:p>
        </w:tc>
      </w:tr>
      <w:tr w:rsidR="00754E83" w:rsidRPr="005D49F2" w14:paraId="2780EAAC" w14:textId="77777777" w:rsidTr="003064C5">
        <w:trPr>
          <w:trHeight w:val="239"/>
        </w:trPr>
        <w:tc>
          <w:tcPr>
            <w:tcW w:w="9432" w:type="dxa"/>
            <w:gridSpan w:val="5"/>
            <w:tcBorders>
              <w:top w:val="single" w:sz="18" w:space="0" w:color="08445E" w:themeColor="accent2"/>
              <w:left w:val="nil"/>
              <w:bottom w:val="single" w:sz="8" w:space="0" w:color="FF5000" w:themeColor="accent6"/>
              <w:right w:val="nil"/>
            </w:tcBorders>
            <w:shd w:val="clear" w:color="auto" w:fill="F2F2F2" w:themeFill="background1" w:themeFillShade="F2"/>
            <w:tcMar>
              <w:top w:w="72" w:type="dxa"/>
              <w:left w:w="144" w:type="dxa"/>
              <w:bottom w:w="72" w:type="dxa"/>
              <w:right w:w="144" w:type="dxa"/>
            </w:tcMar>
            <w:vAlign w:val="center"/>
          </w:tcPr>
          <w:p w14:paraId="117DF085" w14:textId="77777777" w:rsidR="00754E83" w:rsidRPr="005D49F2" w:rsidRDefault="00754E83" w:rsidP="00832E59">
            <w:pPr>
              <w:pStyle w:val="TableTitleInTable"/>
              <w:spacing w:before="0" w:after="0"/>
              <w:rPr>
                <w:b/>
                <w:i/>
                <w:color w:val="FF5000" w:themeColor="accent6"/>
                <w:sz w:val="20"/>
              </w:rPr>
            </w:pPr>
            <w:r w:rsidRPr="003064C5">
              <w:rPr>
                <w:b/>
                <w:i/>
                <w:color w:val="FF5000" w:themeColor="accent6"/>
                <w:sz w:val="18"/>
              </w:rPr>
              <w:t>Emerging Economic Hubs</w:t>
            </w:r>
          </w:p>
        </w:tc>
      </w:tr>
      <w:tr w:rsidR="00754E83" w:rsidRPr="005D49F2" w14:paraId="05B1BC12" w14:textId="77777777" w:rsidTr="0097080E">
        <w:trPr>
          <w:trHeight w:val="239"/>
        </w:trPr>
        <w:tc>
          <w:tcPr>
            <w:tcW w:w="1260" w:type="dxa"/>
            <w:tcBorders>
              <w:top w:val="single" w:sz="18" w:space="0" w:color="08445E" w:themeColor="accent2"/>
              <w:left w:val="nil"/>
              <w:bottom w:val="single" w:sz="8" w:space="0" w:color="FF5000" w:themeColor="accent6"/>
              <w:right w:val="nil"/>
            </w:tcBorders>
            <w:shd w:val="clear" w:color="auto" w:fill="auto"/>
            <w:tcMar>
              <w:top w:w="72" w:type="dxa"/>
              <w:left w:w="144" w:type="dxa"/>
              <w:bottom w:w="72" w:type="dxa"/>
              <w:right w:w="144" w:type="dxa"/>
            </w:tcMar>
            <w:vAlign w:val="center"/>
          </w:tcPr>
          <w:p w14:paraId="17B77F7C" w14:textId="77777777" w:rsidR="00754E83" w:rsidRPr="00D17E9A" w:rsidRDefault="00754E83" w:rsidP="00832E59">
            <w:pPr>
              <w:pStyle w:val="TableTitleInTable"/>
              <w:jc w:val="center"/>
              <w:rPr>
                <w:rFonts w:ascii="Source Sans Pro" w:eastAsia="Yu Gothic UI" w:hAnsi="Source Sans Pro"/>
                <w:b/>
                <w:bCs/>
                <w:color w:val="052D3F" w:themeColor="accent1"/>
                <w:sz w:val="16"/>
                <w:szCs w:val="12"/>
                <w:lang w:val="en-US"/>
              </w:rPr>
            </w:pPr>
            <w:r w:rsidRPr="00D17E9A">
              <w:rPr>
                <w:rFonts w:ascii="Source Sans Pro" w:eastAsia="Yu Gothic UI" w:hAnsi="Source Sans Pro"/>
                <w:b/>
                <w:bCs/>
                <w:color w:val="052D3F" w:themeColor="accent1"/>
                <w:sz w:val="16"/>
                <w:szCs w:val="12"/>
                <w:lang w:val="en-US"/>
              </w:rPr>
              <w:t>Royal Victoria</w:t>
            </w:r>
          </w:p>
        </w:tc>
        <w:tc>
          <w:tcPr>
            <w:tcW w:w="2070" w:type="dxa"/>
            <w:tcBorders>
              <w:top w:val="single" w:sz="18" w:space="0" w:color="08445E" w:themeColor="accent2"/>
              <w:left w:val="nil"/>
              <w:bottom w:val="single" w:sz="8" w:space="0" w:color="FF5000" w:themeColor="accent6"/>
              <w:right w:val="nil"/>
            </w:tcBorders>
            <w:vAlign w:val="center"/>
          </w:tcPr>
          <w:p w14:paraId="75A277F5" w14:textId="22C64B93" w:rsidR="00754E83" w:rsidRPr="009A0C17" w:rsidRDefault="00D47D81" w:rsidP="00832E59">
            <w:pPr>
              <w:pStyle w:val="TableBullet"/>
              <w:ind w:left="198" w:hanging="170"/>
              <w:rPr>
                <w:rFonts w:ascii="Source Sans Pro" w:hAnsi="Source Sans Pro"/>
                <w:sz w:val="15"/>
                <w:szCs w:val="13"/>
              </w:rPr>
            </w:pPr>
            <w:r>
              <w:rPr>
                <w:rFonts w:ascii="Source Sans Pro" w:hAnsi="Source Sans Pro"/>
                <w:sz w:val="15"/>
                <w:szCs w:val="13"/>
              </w:rPr>
              <w:t>S</w:t>
            </w:r>
            <w:r w:rsidR="009B501E" w:rsidRPr="009A0C17">
              <w:rPr>
                <w:rFonts w:ascii="Source Sans Pro" w:hAnsi="Source Sans Pro"/>
                <w:sz w:val="15"/>
                <w:szCs w:val="13"/>
              </w:rPr>
              <w:t>ocial innovation / green enterprise</w:t>
            </w:r>
            <w:r>
              <w:rPr>
                <w:rFonts w:ascii="Source Sans Pro" w:hAnsi="Source Sans Pro"/>
                <w:sz w:val="15"/>
                <w:szCs w:val="13"/>
              </w:rPr>
              <w:t xml:space="preserve"> at Crystal</w:t>
            </w:r>
          </w:p>
          <w:p w14:paraId="74E0EFE1" w14:textId="77777777" w:rsidR="00754E83" w:rsidRPr="009A0C17" w:rsidRDefault="00754E83" w:rsidP="00832E59">
            <w:pPr>
              <w:pStyle w:val="TableBullet"/>
              <w:ind w:left="198" w:hanging="170"/>
              <w:rPr>
                <w:rFonts w:ascii="Source Sans Pro" w:eastAsia="Yu Gothic UI" w:hAnsi="Source Sans Pro"/>
                <w:sz w:val="15"/>
                <w:szCs w:val="13"/>
                <w:lang w:val="en-US"/>
              </w:rPr>
            </w:pPr>
            <w:r w:rsidRPr="009A0C17">
              <w:rPr>
                <w:rFonts w:ascii="Source Sans Pro" w:hAnsi="Source Sans Pro"/>
                <w:sz w:val="15"/>
                <w:szCs w:val="13"/>
              </w:rPr>
              <w:t>Testing of new amenity and street market offer to animate area for locals and visitors</w:t>
            </w:r>
          </w:p>
        </w:tc>
        <w:tc>
          <w:tcPr>
            <w:tcW w:w="1980" w:type="dxa"/>
            <w:tcBorders>
              <w:top w:val="single" w:sz="18" w:space="0" w:color="08445E" w:themeColor="accent2"/>
              <w:left w:val="nil"/>
              <w:bottom w:val="single" w:sz="8" w:space="0" w:color="FF5000" w:themeColor="accent6"/>
              <w:right w:val="nil"/>
            </w:tcBorders>
            <w:shd w:val="clear" w:color="auto" w:fill="FFDCCC" w:themeFill="accent6" w:themeFillTint="33"/>
            <w:tcMar>
              <w:top w:w="72" w:type="dxa"/>
              <w:left w:w="144" w:type="dxa"/>
              <w:bottom w:w="72" w:type="dxa"/>
              <w:right w:w="144" w:type="dxa"/>
            </w:tcMar>
            <w:vAlign w:val="center"/>
          </w:tcPr>
          <w:p w14:paraId="745F90EF" w14:textId="77777777" w:rsidR="00754E83" w:rsidRPr="009A0C17" w:rsidRDefault="00754E83" w:rsidP="00832E59">
            <w:pPr>
              <w:pStyle w:val="TableBullet"/>
              <w:numPr>
                <w:ilvl w:val="0"/>
                <w:numId w:val="0"/>
              </w:numPr>
              <w:ind w:left="425"/>
              <w:rPr>
                <w:rFonts w:ascii="Source Sans Pro" w:eastAsia="Yu Gothic UI" w:hAnsi="Source Sans Pro"/>
                <w:sz w:val="15"/>
                <w:szCs w:val="13"/>
                <w:lang w:val="en-US"/>
              </w:rPr>
            </w:pPr>
          </w:p>
        </w:tc>
        <w:tc>
          <w:tcPr>
            <w:tcW w:w="2022" w:type="dxa"/>
            <w:tcBorders>
              <w:top w:val="single" w:sz="18" w:space="0" w:color="08445E" w:themeColor="accent2"/>
              <w:left w:val="nil"/>
              <w:bottom w:val="single" w:sz="8" w:space="0" w:color="FF5000" w:themeColor="accent6"/>
              <w:right w:val="nil"/>
            </w:tcBorders>
            <w:shd w:val="clear" w:color="auto" w:fill="auto"/>
            <w:vAlign w:val="center"/>
          </w:tcPr>
          <w:p w14:paraId="114806F4" w14:textId="77777777" w:rsidR="00754E83" w:rsidRPr="009A0C17" w:rsidRDefault="00754E83" w:rsidP="00832E59">
            <w:pPr>
              <w:pStyle w:val="TableBullet"/>
              <w:ind w:left="198" w:hanging="170"/>
              <w:rPr>
                <w:rFonts w:ascii="Source Sans Pro" w:hAnsi="Source Sans Pro"/>
                <w:sz w:val="15"/>
                <w:szCs w:val="13"/>
              </w:rPr>
            </w:pPr>
            <w:r w:rsidRPr="009A0C17">
              <w:rPr>
                <w:rFonts w:ascii="Source Sans Pro" w:hAnsi="Source Sans Pro"/>
                <w:sz w:val="15"/>
                <w:szCs w:val="13"/>
              </w:rPr>
              <w:t>Cohort of new businesses receiving growth support</w:t>
            </w:r>
          </w:p>
          <w:p w14:paraId="133F884C" w14:textId="77777777" w:rsidR="00754E83" w:rsidRPr="009A0C17" w:rsidRDefault="00754E83" w:rsidP="00832E59">
            <w:pPr>
              <w:pStyle w:val="TableBullet"/>
              <w:ind w:left="198" w:hanging="170"/>
              <w:rPr>
                <w:rFonts w:ascii="Source Sans Pro" w:hAnsi="Source Sans Pro"/>
                <w:sz w:val="15"/>
                <w:szCs w:val="13"/>
              </w:rPr>
            </w:pPr>
            <w:r w:rsidRPr="009A0C17">
              <w:rPr>
                <w:rFonts w:ascii="Source Sans Pro" w:hAnsi="Source Sans Pro"/>
                <w:sz w:val="15"/>
                <w:szCs w:val="13"/>
              </w:rPr>
              <w:t>Identify spaces to accommodate early state green innovation businesses</w:t>
            </w:r>
          </w:p>
        </w:tc>
        <w:tc>
          <w:tcPr>
            <w:tcW w:w="2100" w:type="dxa"/>
            <w:tcBorders>
              <w:top w:val="single" w:sz="18" w:space="0" w:color="08445E" w:themeColor="accent2"/>
              <w:left w:val="nil"/>
              <w:bottom w:val="single" w:sz="8" w:space="0" w:color="FF5000" w:themeColor="accent6"/>
              <w:right w:val="nil"/>
            </w:tcBorders>
            <w:shd w:val="clear" w:color="auto" w:fill="auto"/>
            <w:vAlign w:val="center"/>
          </w:tcPr>
          <w:p w14:paraId="79CD41A7" w14:textId="08811ED7" w:rsidR="00D47D81" w:rsidRDefault="00D47D81" w:rsidP="00832E59">
            <w:pPr>
              <w:pStyle w:val="TableBullet"/>
              <w:ind w:left="198" w:hanging="170"/>
              <w:rPr>
                <w:rFonts w:ascii="Source Sans Pro" w:hAnsi="Source Sans Pro"/>
                <w:sz w:val="15"/>
                <w:szCs w:val="13"/>
              </w:rPr>
            </w:pPr>
            <w:r w:rsidRPr="009A0C17">
              <w:rPr>
                <w:rFonts w:ascii="Source Sans Pro" w:hAnsi="Source Sans Pro"/>
                <w:sz w:val="15"/>
                <w:szCs w:val="13"/>
              </w:rPr>
              <w:t>Future plans for Crystal</w:t>
            </w:r>
          </w:p>
          <w:p w14:paraId="075C944B" w14:textId="62C34F7C" w:rsidR="00754E83" w:rsidRPr="009A0C17" w:rsidRDefault="00754E83" w:rsidP="00832E59">
            <w:pPr>
              <w:pStyle w:val="TableBullet"/>
              <w:ind w:left="198" w:hanging="170"/>
              <w:rPr>
                <w:rFonts w:ascii="Source Sans Pro" w:hAnsi="Source Sans Pro"/>
                <w:sz w:val="15"/>
                <w:szCs w:val="13"/>
              </w:rPr>
            </w:pPr>
            <w:r w:rsidRPr="009A0C17">
              <w:rPr>
                <w:rFonts w:ascii="Source Sans Pro" w:hAnsi="Source Sans Pro"/>
                <w:sz w:val="15"/>
                <w:szCs w:val="13"/>
              </w:rPr>
              <w:t xml:space="preserve">Early </w:t>
            </w:r>
            <w:r w:rsidR="002618D8" w:rsidRPr="009A0C17">
              <w:rPr>
                <w:rFonts w:ascii="Source Sans Pro" w:hAnsi="Source Sans Pro"/>
                <w:sz w:val="15"/>
                <w:szCs w:val="13"/>
              </w:rPr>
              <w:t xml:space="preserve">work to secure pipeline of </w:t>
            </w:r>
            <w:r w:rsidRPr="009A0C17">
              <w:rPr>
                <w:rFonts w:ascii="Source Sans Pro" w:hAnsi="Source Sans Pro"/>
                <w:sz w:val="15"/>
                <w:szCs w:val="13"/>
              </w:rPr>
              <w:t xml:space="preserve">range of workspaces to encourages clustering </w:t>
            </w:r>
          </w:p>
        </w:tc>
      </w:tr>
      <w:tr w:rsidR="00950B3E" w:rsidRPr="005D49F2" w14:paraId="0B128D74" w14:textId="77777777" w:rsidTr="0097080E">
        <w:trPr>
          <w:trHeight w:val="239"/>
        </w:trPr>
        <w:tc>
          <w:tcPr>
            <w:tcW w:w="126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0E88A235" w14:textId="350CE16A" w:rsidR="00950B3E" w:rsidRPr="00D17E9A" w:rsidRDefault="00950B3E" w:rsidP="00950B3E">
            <w:pPr>
              <w:pStyle w:val="TableTitleInTable"/>
              <w:jc w:val="center"/>
              <w:rPr>
                <w:rFonts w:ascii="Source Sans Pro" w:eastAsia="Yu Gothic UI" w:hAnsi="Source Sans Pro"/>
                <w:b/>
                <w:bCs/>
                <w:color w:val="052D3F" w:themeColor="accent1"/>
                <w:sz w:val="16"/>
                <w:szCs w:val="12"/>
                <w:lang w:val="en-US"/>
              </w:rPr>
            </w:pPr>
            <w:r w:rsidRPr="00D17E9A">
              <w:rPr>
                <w:rFonts w:ascii="Source Sans Pro" w:eastAsia="Yu Gothic UI" w:hAnsi="Source Sans Pro"/>
                <w:b/>
                <w:bCs/>
                <w:color w:val="052D3F" w:themeColor="accent1"/>
                <w:sz w:val="16"/>
                <w:szCs w:val="12"/>
                <w:lang w:val="en-US"/>
              </w:rPr>
              <w:t>Conn</w:t>
            </w:r>
            <w:r>
              <w:rPr>
                <w:rFonts w:ascii="Source Sans Pro" w:eastAsia="Yu Gothic UI" w:hAnsi="Source Sans Pro"/>
                <w:b/>
                <w:bCs/>
                <w:color w:val="052D3F" w:themeColor="accent1"/>
                <w:sz w:val="16"/>
                <w:szCs w:val="12"/>
                <w:lang w:val="en-US"/>
              </w:rPr>
              <w:t>n</w:t>
            </w:r>
            <w:r w:rsidRPr="00D17E9A">
              <w:rPr>
                <w:rFonts w:ascii="Source Sans Pro" w:eastAsia="Yu Gothic UI" w:hAnsi="Source Sans Pro"/>
                <w:b/>
                <w:bCs/>
                <w:color w:val="052D3F" w:themeColor="accent1"/>
                <w:sz w:val="16"/>
                <w:szCs w:val="12"/>
                <w:lang w:val="en-US"/>
              </w:rPr>
              <w:t>aught Area</w:t>
            </w:r>
          </w:p>
        </w:tc>
        <w:tc>
          <w:tcPr>
            <w:tcW w:w="2070" w:type="dxa"/>
            <w:tcBorders>
              <w:top w:val="single" w:sz="8" w:space="0" w:color="FF5000" w:themeColor="accent6"/>
              <w:left w:val="nil"/>
              <w:bottom w:val="single" w:sz="8" w:space="0" w:color="FF5000" w:themeColor="accent6"/>
              <w:right w:val="nil"/>
            </w:tcBorders>
            <w:shd w:val="clear" w:color="auto" w:fill="FFDCCC" w:themeFill="accent6" w:themeFillTint="33"/>
            <w:vAlign w:val="center"/>
          </w:tcPr>
          <w:p w14:paraId="2AC3906A" w14:textId="77777777" w:rsidR="00950B3E" w:rsidRPr="009A0C17" w:rsidRDefault="00950B3E" w:rsidP="00950B3E">
            <w:pPr>
              <w:pStyle w:val="TableBullet"/>
              <w:numPr>
                <w:ilvl w:val="0"/>
                <w:numId w:val="0"/>
              </w:numPr>
              <w:ind w:left="425"/>
              <w:rPr>
                <w:rFonts w:ascii="Source Sans Pro" w:eastAsia="Yu Gothic UI" w:hAnsi="Source Sans Pro"/>
                <w:sz w:val="15"/>
                <w:szCs w:val="13"/>
                <w:lang w:val="en-US"/>
              </w:rPr>
            </w:pPr>
          </w:p>
        </w:tc>
        <w:tc>
          <w:tcPr>
            <w:tcW w:w="198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tcPr>
          <w:p w14:paraId="2B87FF16" w14:textId="3B6CC43A" w:rsidR="00950B3E" w:rsidRPr="00950B3E" w:rsidRDefault="00950B3E" w:rsidP="00950B3E">
            <w:pPr>
              <w:pStyle w:val="TableBullet"/>
              <w:ind w:left="198" w:hanging="170"/>
              <w:rPr>
                <w:rFonts w:ascii="Source Sans Pro" w:hAnsi="Source Sans Pro"/>
                <w:sz w:val="15"/>
                <w:szCs w:val="13"/>
              </w:rPr>
            </w:pPr>
            <w:r w:rsidRPr="00950B3E">
              <w:rPr>
                <w:rFonts w:ascii="Source Sans Pro" w:hAnsi="Source Sans Pro"/>
                <w:sz w:val="15"/>
                <w:szCs w:val="13"/>
              </w:rPr>
              <w:t>Scoping of potential academy for hospitality</w:t>
            </w:r>
          </w:p>
        </w:tc>
        <w:tc>
          <w:tcPr>
            <w:tcW w:w="2022" w:type="dxa"/>
            <w:tcBorders>
              <w:top w:val="single" w:sz="8" w:space="0" w:color="FF5000" w:themeColor="accent6"/>
              <w:left w:val="nil"/>
              <w:bottom w:val="single" w:sz="8" w:space="0" w:color="FF5000" w:themeColor="accent6"/>
              <w:right w:val="nil"/>
            </w:tcBorders>
            <w:shd w:val="clear" w:color="auto" w:fill="FFDCCC" w:themeFill="accent6" w:themeFillTint="33"/>
            <w:vAlign w:val="center"/>
          </w:tcPr>
          <w:p w14:paraId="1B51BAE6" w14:textId="77777777" w:rsidR="00950B3E" w:rsidRPr="009A0C17" w:rsidRDefault="00950B3E" w:rsidP="00950B3E">
            <w:pPr>
              <w:pStyle w:val="TableBullet"/>
              <w:numPr>
                <w:ilvl w:val="0"/>
                <w:numId w:val="0"/>
              </w:numPr>
              <w:ind w:left="425"/>
              <w:rPr>
                <w:rFonts w:ascii="Source Sans Pro" w:hAnsi="Source Sans Pro"/>
                <w:sz w:val="15"/>
                <w:szCs w:val="13"/>
              </w:rPr>
            </w:pPr>
          </w:p>
        </w:tc>
        <w:tc>
          <w:tcPr>
            <w:tcW w:w="2100" w:type="dxa"/>
            <w:tcBorders>
              <w:top w:val="single" w:sz="8" w:space="0" w:color="FF5000" w:themeColor="accent6"/>
              <w:left w:val="nil"/>
              <w:bottom w:val="single" w:sz="8" w:space="0" w:color="FF5000" w:themeColor="accent6"/>
              <w:right w:val="nil"/>
            </w:tcBorders>
            <w:shd w:val="clear" w:color="auto" w:fill="auto"/>
            <w:vAlign w:val="center"/>
          </w:tcPr>
          <w:p w14:paraId="297BBD1B" w14:textId="6F0D6F12" w:rsidR="00950B3E" w:rsidRPr="009A0C17" w:rsidRDefault="00950B3E" w:rsidP="00950B3E">
            <w:pPr>
              <w:pStyle w:val="TableBullet"/>
              <w:ind w:left="198" w:hanging="170"/>
              <w:rPr>
                <w:rFonts w:ascii="Source Sans Pro" w:hAnsi="Source Sans Pro"/>
                <w:sz w:val="15"/>
                <w:szCs w:val="13"/>
              </w:rPr>
            </w:pPr>
            <w:r w:rsidRPr="009A0C17">
              <w:rPr>
                <w:rFonts w:ascii="Source Sans Pro" w:hAnsi="Source Sans Pro"/>
                <w:sz w:val="15"/>
                <w:szCs w:val="13"/>
              </w:rPr>
              <w:t>Interim / temporary retail &amp; leisure spaces to test new ideas building on demand from visitor economy</w:t>
            </w:r>
          </w:p>
        </w:tc>
      </w:tr>
      <w:tr w:rsidR="00950B3E" w:rsidRPr="005D49F2" w14:paraId="66F45AAE" w14:textId="77777777" w:rsidTr="0097080E">
        <w:trPr>
          <w:trHeight w:val="239"/>
        </w:trPr>
        <w:tc>
          <w:tcPr>
            <w:tcW w:w="126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61C94A0B" w14:textId="77777777" w:rsidR="00950B3E" w:rsidRPr="00D17E9A" w:rsidRDefault="00950B3E" w:rsidP="00950B3E">
            <w:pPr>
              <w:pStyle w:val="TableTitleInTable"/>
              <w:jc w:val="center"/>
              <w:rPr>
                <w:rFonts w:ascii="Source Sans Pro" w:eastAsia="Yu Gothic UI" w:hAnsi="Source Sans Pro"/>
                <w:b/>
                <w:bCs/>
                <w:color w:val="052D3F" w:themeColor="accent1"/>
                <w:sz w:val="16"/>
                <w:szCs w:val="12"/>
                <w:lang w:val="en-US"/>
              </w:rPr>
            </w:pPr>
            <w:r w:rsidRPr="00D17E9A">
              <w:rPr>
                <w:rFonts w:ascii="Source Sans Pro" w:eastAsia="Yu Gothic UI" w:hAnsi="Source Sans Pro"/>
                <w:b/>
                <w:bCs/>
                <w:color w:val="052D3F" w:themeColor="accent1"/>
                <w:sz w:val="16"/>
                <w:szCs w:val="12"/>
                <w:lang w:val="en-US"/>
              </w:rPr>
              <w:t xml:space="preserve">Royal Albert Docks </w:t>
            </w:r>
          </w:p>
        </w:tc>
        <w:tc>
          <w:tcPr>
            <w:tcW w:w="2070" w:type="dxa"/>
            <w:tcBorders>
              <w:top w:val="single" w:sz="8" w:space="0" w:color="FF5000" w:themeColor="accent6"/>
              <w:left w:val="nil"/>
              <w:bottom w:val="single" w:sz="8" w:space="0" w:color="FF5000" w:themeColor="accent6"/>
              <w:right w:val="nil"/>
            </w:tcBorders>
            <w:vAlign w:val="center"/>
          </w:tcPr>
          <w:p w14:paraId="74F41672" w14:textId="77777777" w:rsidR="00950B3E" w:rsidRDefault="00950B3E" w:rsidP="00950B3E">
            <w:pPr>
              <w:pStyle w:val="TableBullet"/>
              <w:ind w:left="198" w:hanging="170"/>
              <w:rPr>
                <w:rFonts w:ascii="Source Sans Pro" w:hAnsi="Source Sans Pro"/>
                <w:sz w:val="15"/>
                <w:szCs w:val="13"/>
              </w:rPr>
            </w:pPr>
            <w:r w:rsidRPr="009A0C17">
              <w:rPr>
                <w:rFonts w:ascii="Source Sans Pro" w:hAnsi="Source Sans Pro"/>
                <w:sz w:val="15"/>
                <w:szCs w:val="13"/>
              </w:rPr>
              <w:t>Expediting amenity offer, involving local, young businesses where possible</w:t>
            </w:r>
          </w:p>
          <w:p w14:paraId="022A7CF7" w14:textId="255489A8" w:rsidR="00DB48CE" w:rsidRPr="009A0C17" w:rsidRDefault="00DB48CE" w:rsidP="00950B3E">
            <w:pPr>
              <w:pStyle w:val="TableBullet"/>
              <w:ind w:left="198" w:hanging="170"/>
              <w:rPr>
                <w:rFonts w:ascii="Source Sans Pro" w:hAnsi="Source Sans Pro"/>
                <w:sz w:val="15"/>
                <w:szCs w:val="13"/>
              </w:rPr>
            </w:pPr>
            <w:r>
              <w:rPr>
                <w:rFonts w:ascii="Source Sans Pro" w:hAnsi="Source Sans Pro"/>
                <w:sz w:val="15"/>
                <w:szCs w:val="13"/>
              </w:rPr>
              <w:t>Pioneer investment in workspace</w:t>
            </w:r>
          </w:p>
        </w:tc>
        <w:tc>
          <w:tcPr>
            <w:tcW w:w="198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tcPr>
          <w:p w14:paraId="3308B199" w14:textId="56B0BB50" w:rsidR="00950B3E" w:rsidRPr="009A0C17" w:rsidRDefault="00950B3E" w:rsidP="00950B3E">
            <w:pPr>
              <w:pStyle w:val="TableBullet"/>
              <w:ind w:left="198" w:hanging="170"/>
              <w:rPr>
                <w:rFonts w:ascii="Source Sans Pro" w:hAnsi="Source Sans Pro"/>
                <w:sz w:val="15"/>
                <w:szCs w:val="13"/>
              </w:rPr>
            </w:pPr>
            <w:r w:rsidRPr="00950B3E">
              <w:rPr>
                <w:rFonts w:ascii="Source Sans Pro" w:hAnsi="Source Sans Pro"/>
                <w:sz w:val="15"/>
                <w:szCs w:val="13"/>
              </w:rPr>
              <w:t xml:space="preserve">Early pilot location for reformed Workspace </w:t>
            </w:r>
          </w:p>
        </w:tc>
        <w:tc>
          <w:tcPr>
            <w:tcW w:w="2022" w:type="dxa"/>
            <w:tcBorders>
              <w:top w:val="single" w:sz="8" w:space="0" w:color="FF5000" w:themeColor="accent6"/>
              <w:left w:val="nil"/>
              <w:bottom w:val="single" w:sz="8" w:space="0" w:color="FF5000" w:themeColor="accent6"/>
              <w:right w:val="nil"/>
            </w:tcBorders>
            <w:shd w:val="clear" w:color="auto" w:fill="auto"/>
            <w:vAlign w:val="center"/>
          </w:tcPr>
          <w:p w14:paraId="6F921851" w14:textId="545ABE5C" w:rsidR="00950B3E" w:rsidRPr="009A0C17" w:rsidRDefault="00950B3E" w:rsidP="00950B3E">
            <w:pPr>
              <w:pStyle w:val="TableBullet"/>
              <w:ind w:left="198" w:hanging="170"/>
              <w:rPr>
                <w:rFonts w:ascii="Source Sans Pro" w:hAnsi="Source Sans Pro"/>
                <w:sz w:val="15"/>
                <w:szCs w:val="13"/>
              </w:rPr>
            </w:pPr>
            <w:r w:rsidRPr="009A0C17">
              <w:rPr>
                <w:rFonts w:ascii="Source Sans Pro" w:hAnsi="Source Sans Pro"/>
                <w:sz w:val="15"/>
                <w:szCs w:val="13"/>
              </w:rPr>
              <w:t xml:space="preserve">Targeted inward investment aimed at FOEs </w:t>
            </w:r>
            <w:r>
              <w:rPr>
                <w:rFonts w:ascii="Source Sans Pro" w:hAnsi="Source Sans Pro"/>
                <w:sz w:val="15"/>
                <w:szCs w:val="13"/>
              </w:rPr>
              <w:t xml:space="preserve">plus </w:t>
            </w:r>
            <w:r w:rsidRPr="009A0C17">
              <w:rPr>
                <w:rFonts w:ascii="Source Sans Pro" w:hAnsi="Source Sans Pro"/>
                <w:sz w:val="15"/>
                <w:szCs w:val="13"/>
              </w:rPr>
              <w:t>aftercare</w:t>
            </w:r>
          </w:p>
          <w:p w14:paraId="0AEE4C5C" w14:textId="50EE9D9F" w:rsidR="00950B3E" w:rsidRPr="009A0C17" w:rsidRDefault="00950B3E" w:rsidP="00950B3E">
            <w:pPr>
              <w:pStyle w:val="TableBullet"/>
              <w:ind w:left="198" w:hanging="170"/>
              <w:rPr>
                <w:rFonts w:ascii="Source Sans Pro" w:hAnsi="Source Sans Pro"/>
                <w:sz w:val="15"/>
                <w:szCs w:val="13"/>
              </w:rPr>
            </w:pPr>
            <w:r w:rsidRPr="009A0C17">
              <w:rPr>
                <w:rFonts w:ascii="Source Sans Pro" w:hAnsi="Source Sans Pro"/>
                <w:sz w:val="15"/>
                <w:szCs w:val="13"/>
              </w:rPr>
              <w:t xml:space="preserve">Embedding UEL links– knowledge &amp; skills. </w:t>
            </w:r>
          </w:p>
        </w:tc>
        <w:tc>
          <w:tcPr>
            <w:tcW w:w="2100" w:type="dxa"/>
            <w:tcBorders>
              <w:top w:val="single" w:sz="8" w:space="0" w:color="FF5000" w:themeColor="accent6"/>
              <w:left w:val="nil"/>
              <w:bottom w:val="single" w:sz="8" w:space="0" w:color="FF5000" w:themeColor="accent6"/>
              <w:right w:val="nil"/>
            </w:tcBorders>
            <w:shd w:val="clear" w:color="auto" w:fill="auto"/>
            <w:vAlign w:val="center"/>
          </w:tcPr>
          <w:p w14:paraId="72F4288E" w14:textId="3DEA1F60" w:rsidR="00950B3E" w:rsidRPr="009A0C17" w:rsidRDefault="00950B3E" w:rsidP="00950B3E">
            <w:pPr>
              <w:pStyle w:val="TableBullet"/>
              <w:ind w:left="198" w:hanging="170"/>
              <w:rPr>
                <w:rFonts w:ascii="Source Sans Pro" w:hAnsi="Source Sans Pro"/>
                <w:sz w:val="15"/>
                <w:szCs w:val="13"/>
              </w:rPr>
            </w:pPr>
            <w:r>
              <w:rPr>
                <w:rFonts w:ascii="Source Sans Pro" w:hAnsi="Source Sans Pro"/>
                <w:sz w:val="15"/>
                <w:szCs w:val="13"/>
              </w:rPr>
              <w:t>U</w:t>
            </w:r>
            <w:r w:rsidRPr="009A0C17">
              <w:rPr>
                <w:rFonts w:ascii="Source Sans Pro" w:hAnsi="Source Sans Pro"/>
                <w:sz w:val="15"/>
                <w:szCs w:val="13"/>
              </w:rPr>
              <w:t>se of space as hub for start-up and youth enterprise</w:t>
            </w:r>
          </w:p>
          <w:p w14:paraId="1BC4C633" w14:textId="77777777" w:rsidR="00950B3E" w:rsidRPr="009A0C17" w:rsidRDefault="00950B3E" w:rsidP="00950B3E">
            <w:pPr>
              <w:pStyle w:val="TableBullet"/>
              <w:ind w:left="198" w:hanging="170"/>
              <w:rPr>
                <w:rFonts w:ascii="Source Sans Pro" w:hAnsi="Source Sans Pro"/>
                <w:sz w:val="15"/>
                <w:szCs w:val="13"/>
              </w:rPr>
            </w:pPr>
            <w:r w:rsidRPr="009A0C17">
              <w:rPr>
                <w:rFonts w:ascii="Source Sans Pro" w:hAnsi="Source Sans Pro"/>
                <w:sz w:val="15"/>
                <w:szCs w:val="13"/>
              </w:rPr>
              <w:t>Long term asset strategy for Newham Dockside</w:t>
            </w:r>
          </w:p>
        </w:tc>
      </w:tr>
      <w:tr w:rsidR="00950B3E" w:rsidRPr="005D49F2" w14:paraId="0F75B8EC" w14:textId="77777777" w:rsidTr="0097080E">
        <w:trPr>
          <w:trHeight w:val="239"/>
        </w:trPr>
        <w:tc>
          <w:tcPr>
            <w:tcW w:w="126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4747C257" w14:textId="77777777" w:rsidR="00950B3E" w:rsidRPr="00D17E9A" w:rsidRDefault="00950B3E" w:rsidP="00950B3E">
            <w:pPr>
              <w:pStyle w:val="TableTitleInTable"/>
              <w:jc w:val="center"/>
              <w:rPr>
                <w:rFonts w:ascii="Source Sans Pro" w:eastAsia="Yu Gothic UI" w:hAnsi="Source Sans Pro"/>
                <w:b/>
                <w:bCs/>
                <w:color w:val="052D3F" w:themeColor="accent1"/>
                <w:sz w:val="16"/>
                <w:szCs w:val="12"/>
                <w:lang w:val="en-US"/>
              </w:rPr>
            </w:pPr>
            <w:r w:rsidRPr="00D17E9A">
              <w:rPr>
                <w:rFonts w:ascii="Source Sans Pro" w:eastAsia="Yu Gothic UI" w:hAnsi="Source Sans Pro"/>
                <w:b/>
                <w:bCs/>
                <w:color w:val="052D3F" w:themeColor="accent1"/>
                <w:sz w:val="16"/>
                <w:szCs w:val="12"/>
                <w:lang w:val="en-US"/>
              </w:rPr>
              <w:t>Albert Island</w:t>
            </w:r>
          </w:p>
        </w:tc>
        <w:tc>
          <w:tcPr>
            <w:tcW w:w="2070" w:type="dxa"/>
            <w:tcBorders>
              <w:top w:val="single" w:sz="8" w:space="0" w:color="FF5000" w:themeColor="accent6"/>
              <w:left w:val="nil"/>
              <w:bottom w:val="single" w:sz="8" w:space="0" w:color="FF5000" w:themeColor="accent6"/>
              <w:right w:val="nil"/>
            </w:tcBorders>
            <w:vAlign w:val="center"/>
          </w:tcPr>
          <w:p w14:paraId="26F76A7C" w14:textId="77777777" w:rsidR="00950B3E" w:rsidRPr="009A0C17" w:rsidRDefault="00950B3E" w:rsidP="00950B3E">
            <w:pPr>
              <w:pStyle w:val="TableBullet"/>
              <w:ind w:left="198" w:hanging="170"/>
              <w:rPr>
                <w:rFonts w:ascii="Source Sans Pro" w:hAnsi="Source Sans Pro"/>
                <w:sz w:val="15"/>
                <w:szCs w:val="13"/>
              </w:rPr>
            </w:pPr>
            <w:r w:rsidRPr="009A0C17">
              <w:rPr>
                <w:rFonts w:ascii="Source Sans Pro" w:hAnsi="Source Sans Pro"/>
                <w:sz w:val="15"/>
                <w:szCs w:val="13"/>
              </w:rPr>
              <w:t>Funding for maritime focused innovation projects</w:t>
            </w:r>
          </w:p>
        </w:tc>
        <w:tc>
          <w:tcPr>
            <w:tcW w:w="1980" w:type="dxa"/>
            <w:tcBorders>
              <w:top w:val="single" w:sz="8" w:space="0" w:color="FF5000" w:themeColor="accent6"/>
              <w:left w:val="nil"/>
              <w:bottom w:val="single" w:sz="8" w:space="0" w:color="FF5000" w:themeColor="accent6"/>
              <w:right w:val="nil"/>
            </w:tcBorders>
            <w:shd w:val="clear" w:color="auto" w:fill="FFFFFF"/>
            <w:tcMar>
              <w:top w:w="72" w:type="dxa"/>
              <w:left w:w="144" w:type="dxa"/>
              <w:bottom w:w="72" w:type="dxa"/>
              <w:right w:w="144" w:type="dxa"/>
            </w:tcMar>
          </w:tcPr>
          <w:p w14:paraId="7CBCD994" w14:textId="550EC886" w:rsidR="00950B3E" w:rsidRPr="009A0C17" w:rsidRDefault="00950B3E" w:rsidP="00950B3E">
            <w:pPr>
              <w:pStyle w:val="TableBullet"/>
              <w:ind w:left="198" w:hanging="170"/>
              <w:rPr>
                <w:rFonts w:ascii="Source Sans Pro" w:hAnsi="Source Sans Pro"/>
                <w:sz w:val="15"/>
                <w:szCs w:val="13"/>
              </w:rPr>
            </w:pPr>
            <w:r w:rsidRPr="00950B3E">
              <w:rPr>
                <w:rFonts w:ascii="Source Sans Pro" w:hAnsi="Source Sans Pro"/>
                <w:sz w:val="15"/>
                <w:szCs w:val="13"/>
              </w:rPr>
              <w:t xml:space="preserve">Integration of IOTT &amp; reformed Workplace </w:t>
            </w:r>
          </w:p>
        </w:tc>
        <w:tc>
          <w:tcPr>
            <w:tcW w:w="2022" w:type="dxa"/>
            <w:tcBorders>
              <w:top w:val="single" w:sz="8" w:space="0" w:color="FF5000" w:themeColor="accent6"/>
              <w:left w:val="nil"/>
              <w:bottom w:val="single" w:sz="8" w:space="0" w:color="FF5000" w:themeColor="accent6"/>
              <w:right w:val="nil"/>
            </w:tcBorders>
            <w:shd w:val="clear" w:color="auto" w:fill="FFDCCC" w:themeFill="accent6" w:themeFillTint="33"/>
            <w:vAlign w:val="center"/>
          </w:tcPr>
          <w:p w14:paraId="73F40E5B" w14:textId="77777777" w:rsidR="00950B3E" w:rsidRPr="009A0C17" w:rsidRDefault="00950B3E" w:rsidP="00950B3E">
            <w:pPr>
              <w:pStyle w:val="TableBullet"/>
              <w:numPr>
                <w:ilvl w:val="0"/>
                <w:numId w:val="0"/>
              </w:numPr>
              <w:ind w:left="425"/>
              <w:rPr>
                <w:rFonts w:ascii="Source Sans Pro" w:hAnsi="Source Sans Pro"/>
                <w:sz w:val="15"/>
                <w:szCs w:val="13"/>
              </w:rPr>
            </w:pPr>
          </w:p>
        </w:tc>
        <w:tc>
          <w:tcPr>
            <w:tcW w:w="2100" w:type="dxa"/>
            <w:tcBorders>
              <w:top w:val="single" w:sz="8" w:space="0" w:color="FF5000" w:themeColor="accent6"/>
              <w:left w:val="nil"/>
              <w:bottom w:val="single" w:sz="8" w:space="0" w:color="FF5000" w:themeColor="accent6"/>
              <w:right w:val="nil"/>
            </w:tcBorders>
            <w:shd w:val="clear" w:color="auto" w:fill="FFDCCC" w:themeFill="accent6" w:themeFillTint="33"/>
            <w:vAlign w:val="center"/>
          </w:tcPr>
          <w:p w14:paraId="74D7A22E" w14:textId="77777777" w:rsidR="00950B3E" w:rsidRPr="009A0C17" w:rsidRDefault="00950B3E" w:rsidP="00950B3E">
            <w:pPr>
              <w:pStyle w:val="TableBullet"/>
              <w:numPr>
                <w:ilvl w:val="0"/>
                <w:numId w:val="0"/>
              </w:numPr>
              <w:ind w:left="425"/>
              <w:rPr>
                <w:rFonts w:ascii="Source Sans Pro" w:hAnsi="Source Sans Pro"/>
                <w:sz w:val="15"/>
                <w:szCs w:val="13"/>
              </w:rPr>
            </w:pPr>
          </w:p>
        </w:tc>
      </w:tr>
      <w:tr w:rsidR="00950B3E" w:rsidRPr="005D49F2" w14:paraId="77FE52D2" w14:textId="77777777" w:rsidTr="0097080E">
        <w:trPr>
          <w:trHeight w:val="239"/>
        </w:trPr>
        <w:tc>
          <w:tcPr>
            <w:tcW w:w="126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3243F31A" w14:textId="7ECEB860" w:rsidR="00950B3E" w:rsidRPr="00D17E9A" w:rsidRDefault="00950B3E" w:rsidP="00950B3E">
            <w:pPr>
              <w:pStyle w:val="TableTitleInTable"/>
              <w:jc w:val="center"/>
              <w:rPr>
                <w:rFonts w:ascii="Source Sans Pro" w:eastAsia="Yu Gothic UI" w:hAnsi="Source Sans Pro"/>
                <w:b/>
                <w:bCs/>
                <w:color w:val="052D3F" w:themeColor="accent1"/>
                <w:sz w:val="16"/>
                <w:szCs w:val="12"/>
                <w:lang w:val="en-US"/>
              </w:rPr>
            </w:pPr>
            <w:r w:rsidRPr="00D17E9A">
              <w:rPr>
                <w:rFonts w:ascii="Source Sans Pro" w:eastAsia="Yu Gothic UI" w:hAnsi="Source Sans Pro"/>
                <w:b/>
                <w:bCs/>
                <w:color w:val="052D3F" w:themeColor="accent1"/>
                <w:sz w:val="16"/>
                <w:szCs w:val="12"/>
                <w:lang w:val="en-US"/>
              </w:rPr>
              <w:t>Silvertown</w:t>
            </w:r>
          </w:p>
        </w:tc>
        <w:tc>
          <w:tcPr>
            <w:tcW w:w="2070" w:type="dxa"/>
            <w:tcBorders>
              <w:top w:val="single" w:sz="8" w:space="0" w:color="FF5000" w:themeColor="accent6"/>
              <w:left w:val="nil"/>
              <w:bottom w:val="single" w:sz="8" w:space="0" w:color="FF5000" w:themeColor="accent6"/>
              <w:right w:val="nil"/>
            </w:tcBorders>
            <w:vAlign w:val="center"/>
          </w:tcPr>
          <w:p w14:paraId="73D1FD37" w14:textId="77777777" w:rsidR="00950B3E" w:rsidRPr="009A0C17" w:rsidRDefault="00950B3E" w:rsidP="00950B3E">
            <w:pPr>
              <w:pStyle w:val="TableBullet"/>
              <w:ind w:left="198" w:hanging="170"/>
              <w:rPr>
                <w:rFonts w:ascii="Source Sans Pro" w:hAnsi="Source Sans Pro"/>
                <w:sz w:val="15"/>
                <w:szCs w:val="13"/>
              </w:rPr>
            </w:pPr>
            <w:r w:rsidRPr="009A0C17">
              <w:rPr>
                <w:rFonts w:ascii="Source Sans Pro" w:hAnsi="Source Sans Pro"/>
                <w:sz w:val="15"/>
                <w:szCs w:val="13"/>
              </w:rPr>
              <w:t xml:space="preserve">Prioritising activity to animate area and provide new amenity spaces via meanwhile uses </w:t>
            </w:r>
          </w:p>
        </w:tc>
        <w:tc>
          <w:tcPr>
            <w:tcW w:w="1980" w:type="dxa"/>
            <w:tcBorders>
              <w:top w:val="single" w:sz="8" w:space="0" w:color="FF5000" w:themeColor="accent6"/>
              <w:left w:val="nil"/>
              <w:bottom w:val="single" w:sz="8" w:space="0" w:color="FF5000" w:themeColor="accent6"/>
              <w:right w:val="nil"/>
            </w:tcBorders>
            <w:shd w:val="clear" w:color="auto" w:fill="FFFFFF"/>
            <w:tcMar>
              <w:top w:w="72" w:type="dxa"/>
              <w:left w:w="144" w:type="dxa"/>
              <w:bottom w:w="72" w:type="dxa"/>
              <w:right w:w="144" w:type="dxa"/>
            </w:tcMar>
          </w:tcPr>
          <w:p w14:paraId="59EC1FD7" w14:textId="14F380CC" w:rsidR="00950B3E" w:rsidRPr="00950B3E" w:rsidRDefault="00F85D77" w:rsidP="00A70C58">
            <w:pPr>
              <w:pStyle w:val="TableBullet"/>
              <w:ind w:left="170" w:right="0" w:hanging="170"/>
              <w:rPr>
                <w:rFonts w:ascii="Source Sans Pro" w:hAnsi="Source Sans Pro"/>
                <w:sz w:val="15"/>
                <w:szCs w:val="13"/>
              </w:rPr>
            </w:pPr>
            <w:r>
              <w:rPr>
                <w:rFonts w:ascii="Source Sans Pro" w:hAnsi="Source Sans Pro"/>
                <w:sz w:val="15"/>
                <w:szCs w:val="13"/>
              </w:rPr>
              <w:t xml:space="preserve">Reformed </w:t>
            </w:r>
            <w:r w:rsidRPr="00950B3E">
              <w:rPr>
                <w:rFonts w:ascii="Source Sans Pro" w:hAnsi="Source Sans Pro"/>
                <w:sz w:val="15"/>
                <w:szCs w:val="13"/>
              </w:rPr>
              <w:t xml:space="preserve">Workplace readying residents </w:t>
            </w:r>
            <w:r>
              <w:rPr>
                <w:rFonts w:ascii="Source Sans Pro" w:hAnsi="Source Sans Pro"/>
                <w:sz w:val="15"/>
                <w:szCs w:val="13"/>
              </w:rPr>
              <w:t xml:space="preserve">inc. </w:t>
            </w:r>
            <w:r w:rsidR="00950B3E" w:rsidRPr="00950B3E">
              <w:rPr>
                <w:rFonts w:ascii="Source Sans Pro" w:hAnsi="Source Sans Pro"/>
                <w:sz w:val="15"/>
                <w:szCs w:val="13"/>
              </w:rPr>
              <w:t xml:space="preserve">outreach with schools </w:t>
            </w:r>
            <w:r w:rsidR="00A70C58">
              <w:rPr>
                <w:rFonts w:ascii="Source Sans Pro" w:hAnsi="Source Sans Pro"/>
                <w:sz w:val="15"/>
                <w:szCs w:val="13"/>
              </w:rPr>
              <w:t>&amp;</w:t>
            </w:r>
            <w:r w:rsidR="00950B3E" w:rsidRPr="00950B3E">
              <w:rPr>
                <w:rFonts w:ascii="Source Sans Pro" w:hAnsi="Source Sans Pro"/>
                <w:sz w:val="15"/>
                <w:szCs w:val="13"/>
              </w:rPr>
              <w:t xml:space="preserve"> college</w:t>
            </w:r>
          </w:p>
        </w:tc>
        <w:tc>
          <w:tcPr>
            <w:tcW w:w="2022" w:type="dxa"/>
            <w:tcBorders>
              <w:top w:val="single" w:sz="8" w:space="0" w:color="FF5000" w:themeColor="accent6"/>
              <w:left w:val="nil"/>
              <w:bottom w:val="single" w:sz="8" w:space="0" w:color="FF5000" w:themeColor="accent6"/>
              <w:right w:val="nil"/>
            </w:tcBorders>
            <w:shd w:val="clear" w:color="auto" w:fill="FFFFFF"/>
            <w:vAlign w:val="center"/>
          </w:tcPr>
          <w:p w14:paraId="394C5A5D" w14:textId="77777777" w:rsidR="00950B3E" w:rsidRPr="009A0C17" w:rsidRDefault="00950B3E" w:rsidP="00950B3E">
            <w:pPr>
              <w:pStyle w:val="TableBullet"/>
              <w:ind w:left="198" w:hanging="170"/>
              <w:rPr>
                <w:rFonts w:ascii="Source Sans Pro" w:hAnsi="Source Sans Pro"/>
                <w:sz w:val="15"/>
                <w:szCs w:val="13"/>
              </w:rPr>
            </w:pPr>
            <w:r w:rsidRPr="009A0C17">
              <w:rPr>
                <w:rFonts w:ascii="Source Sans Pro" w:eastAsia="Yu Gothic UI" w:hAnsi="Source Sans Pro"/>
                <w:sz w:val="15"/>
                <w:szCs w:val="13"/>
              </w:rPr>
              <w:t xml:space="preserve">Targeting of cultural production anchor </w:t>
            </w:r>
          </w:p>
          <w:p w14:paraId="41336D8A" w14:textId="194E089C" w:rsidR="00950B3E" w:rsidRPr="009A0C17" w:rsidRDefault="00950B3E" w:rsidP="00950B3E">
            <w:pPr>
              <w:pStyle w:val="TableBullet"/>
              <w:ind w:left="198" w:hanging="170"/>
              <w:rPr>
                <w:rFonts w:ascii="Source Sans Pro" w:hAnsi="Source Sans Pro"/>
                <w:sz w:val="15"/>
                <w:szCs w:val="13"/>
              </w:rPr>
            </w:pPr>
            <w:r w:rsidRPr="009A0C17">
              <w:rPr>
                <w:rFonts w:ascii="Source Sans Pro" w:hAnsi="Source Sans Pro"/>
                <w:sz w:val="15"/>
                <w:szCs w:val="13"/>
              </w:rPr>
              <w:t xml:space="preserve">Focused enterprise and aftercare support </w:t>
            </w:r>
          </w:p>
        </w:tc>
        <w:tc>
          <w:tcPr>
            <w:tcW w:w="2100" w:type="dxa"/>
            <w:tcBorders>
              <w:top w:val="single" w:sz="8" w:space="0" w:color="FF5000" w:themeColor="accent6"/>
              <w:left w:val="nil"/>
              <w:bottom w:val="single" w:sz="8" w:space="0" w:color="FF5000" w:themeColor="accent6"/>
              <w:right w:val="nil"/>
            </w:tcBorders>
            <w:shd w:val="clear" w:color="auto" w:fill="FFFFFF"/>
            <w:vAlign w:val="center"/>
          </w:tcPr>
          <w:p w14:paraId="6A2FFA0D" w14:textId="69E06D6E" w:rsidR="00950B3E" w:rsidRPr="009A0C17" w:rsidRDefault="00950B3E" w:rsidP="00950B3E">
            <w:pPr>
              <w:pStyle w:val="TableBullet"/>
              <w:ind w:left="198" w:hanging="170"/>
              <w:rPr>
                <w:rFonts w:ascii="Source Sans Pro" w:hAnsi="Source Sans Pro"/>
                <w:sz w:val="15"/>
                <w:szCs w:val="13"/>
              </w:rPr>
            </w:pPr>
            <w:r w:rsidRPr="009A0C17">
              <w:rPr>
                <w:rFonts w:ascii="Source Sans Pro" w:hAnsi="Source Sans Pro"/>
                <w:sz w:val="15"/>
                <w:szCs w:val="13"/>
              </w:rPr>
              <w:t>Investment in new types of ‘green’ business space</w:t>
            </w:r>
          </w:p>
          <w:p w14:paraId="4D98BFAE" w14:textId="5B2B0FF8" w:rsidR="00950B3E" w:rsidRPr="009A0C17" w:rsidRDefault="003064C5" w:rsidP="00DC5AEC">
            <w:pPr>
              <w:pStyle w:val="TableBullet"/>
              <w:ind w:left="198" w:hanging="170"/>
              <w:rPr>
                <w:rFonts w:ascii="Source Sans Pro" w:hAnsi="Source Sans Pro"/>
                <w:sz w:val="15"/>
                <w:szCs w:val="13"/>
              </w:rPr>
            </w:pPr>
            <w:r>
              <w:rPr>
                <w:rFonts w:ascii="Source Sans Pro" w:hAnsi="Source Sans Pro"/>
                <w:sz w:val="15"/>
                <w:szCs w:val="13"/>
              </w:rPr>
              <w:t>C</w:t>
            </w:r>
            <w:r w:rsidRPr="009A0C17">
              <w:rPr>
                <w:rFonts w:ascii="Source Sans Pro" w:hAnsi="Source Sans Pro"/>
                <w:sz w:val="15"/>
                <w:szCs w:val="13"/>
              </w:rPr>
              <w:t xml:space="preserve">oordination </w:t>
            </w:r>
            <w:r>
              <w:rPr>
                <w:rFonts w:ascii="Source Sans Pro" w:hAnsi="Source Sans Pro"/>
                <w:sz w:val="15"/>
                <w:szCs w:val="13"/>
              </w:rPr>
              <w:t>of</w:t>
            </w:r>
            <w:r w:rsidR="00DC5AEC">
              <w:rPr>
                <w:rFonts w:ascii="Source Sans Pro" w:hAnsi="Source Sans Pro"/>
                <w:sz w:val="15"/>
                <w:szCs w:val="13"/>
              </w:rPr>
              <w:t xml:space="preserve"> workspace pipeline and a</w:t>
            </w:r>
            <w:r w:rsidR="00950B3E" w:rsidRPr="009A0C17">
              <w:rPr>
                <w:rFonts w:ascii="Source Sans Pro" w:hAnsi="Source Sans Pro"/>
                <w:sz w:val="15"/>
                <w:szCs w:val="13"/>
              </w:rPr>
              <w:t>menity offer</w:t>
            </w:r>
            <w:r w:rsidR="00DC5AEC">
              <w:rPr>
                <w:rFonts w:ascii="Source Sans Pro" w:hAnsi="Source Sans Pro"/>
                <w:sz w:val="15"/>
                <w:szCs w:val="13"/>
              </w:rPr>
              <w:t>.</w:t>
            </w:r>
            <w:r w:rsidR="00950B3E" w:rsidRPr="009A0C17">
              <w:rPr>
                <w:rFonts w:ascii="Source Sans Pro" w:hAnsi="Source Sans Pro"/>
                <w:sz w:val="15"/>
                <w:szCs w:val="13"/>
              </w:rPr>
              <w:t xml:space="preserve"> </w:t>
            </w:r>
          </w:p>
        </w:tc>
      </w:tr>
      <w:tr w:rsidR="00754E83" w:rsidRPr="005D49F2" w14:paraId="387B4E1C" w14:textId="77777777" w:rsidTr="003064C5">
        <w:trPr>
          <w:trHeight w:val="239"/>
        </w:trPr>
        <w:tc>
          <w:tcPr>
            <w:tcW w:w="9432" w:type="dxa"/>
            <w:gridSpan w:val="5"/>
            <w:tcBorders>
              <w:top w:val="single" w:sz="8" w:space="0" w:color="FF5000" w:themeColor="accent6"/>
              <w:left w:val="nil"/>
              <w:bottom w:val="single" w:sz="8" w:space="0" w:color="FF5000" w:themeColor="accent6"/>
              <w:right w:val="nil"/>
            </w:tcBorders>
            <w:shd w:val="clear" w:color="auto" w:fill="F2F2F2" w:themeFill="background1" w:themeFillShade="F2"/>
            <w:tcMar>
              <w:top w:w="72" w:type="dxa"/>
              <w:left w:w="144" w:type="dxa"/>
              <w:bottom w:w="72" w:type="dxa"/>
              <w:right w:w="144" w:type="dxa"/>
            </w:tcMar>
            <w:vAlign w:val="center"/>
          </w:tcPr>
          <w:p w14:paraId="72BC2F9B" w14:textId="77777777" w:rsidR="00754E83" w:rsidRPr="00F94780" w:rsidRDefault="00754E83" w:rsidP="00832E59">
            <w:pPr>
              <w:pStyle w:val="TableTitleInTable"/>
              <w:spacing w:before="0" w:after="0"/>
              <w:rPr>
                <w:rFonts w:ascii="Source Sans Pro" w:hAnsi="Source Sans Pro"/>
                <w:color w:val="FF5000" w:themeColor="accent6"/>
                <w:sz w:val="20"/>
                <w:szCs w:val="12"/>
              </w:rPr>
            </w:pPr>
            <w:r w:rsidRPr="003064C5">
              <w:rPr>
                <w:b/>
                <w:i/>
                <w:color w:val="FF5000" w:themeColor="accent6"/>
                <w:sz w:val="18"/>
                <w:szCs w:val="12"/>
              </w:rPr>
              <w:t>Existing Amenity Centres</w:t>
            </w:r>
          </w:p>
        </w:tc>
      </w:tr>
      <w:tr w:rsidR="00754E83" w:rsidRPr="005D49F2" w14:paraId="2F8BEE96" w14:textId="77777777" w:rsidTr="0097080E">
        <w:trPr>
          <w:trHeight w:val="700"/>
        </w:trPr>
        <w:tc>
          <w:tcPr>
            <w:tcW w:w="126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6D706B4D" w14:textId="77777777" w:rsidR="00754E83" w:rsidRPr="00D17E9A" w:rsidRDefault="00754E83" w:rsidP="00832E59">
            <w:pPr>
              <w:pStyle w:val="TableTitleInTable"/>
              <w:jc w:val="center"/>
              <w:rPr>
                <w:rFonts w:ascii="Source Sans Pro" w:eastAsia="Yu Gothic UI" w:hAnsi="Source Sans Pro"/>
                <w:b/>
                <w:bCs/>
                <w:color w:val="052D3F" w:themeColor="accent1"/>
                <w:sz w:val="16"/>
                <w:szCs w:val="12"/>
                <w:lang w:val="en-US"/>
              </w:rPr>
            </w:pPr>
            <w:r w:rsidRPr="00D17E9A">
              <w:rPr>
                <w:rFonts w:ascii="Source Sans Pro" w:eastAsia="Yu Gothic UI" w:hAnsi="Source Sans Pro"/>
                <w:b/>
                <w:bCs/>
                <w:color w:val="052D3F" w:themeColor="accent1"/>
                <w:sz w:val="16"/>
                <w:szCs w:val="12"/>
                <w:lang w:val="en-US"/>
              </w:rPr>
              <w:t>Canning Town</w:t>
            </w:r>
          </w:p>
        </w:tc>
        <w:tc>
          <w:tcPr>
            <w:tcW w:w="2070" w:type="dxa"/>
            <w:tcBorders>
              <w:top w:val="single" w:sz="8" w:space="0" w:color="FF5000" w:themeColor="accent6"/>
              <w:left w:val="nil"/>
              <w:bottom w:val="single" w:sz="8" w:space="0" w:color="FF5000" w:themeColor="accent6"/>
              <w:right w:val="nil"/>
            </w:tcBorders>
            <w:vAlign w:val="center"/>
          </w:tcPr>
          <w:p w14:paraId="0CD14EBB" w14:textId="77777777" w:rsidR="00754E83" w:rsidRPr="009A0C17" w:rsidRDefault="00754E83" w:rsidP="009A1CF9">
            <w:pPr>
              <w:pStyle w:val="TableBullet"/>
              <w:ind w:left="198" w:hanging="170"/>
              <w:rPr>
                <w:rFonts w:ascii="Source Sans Pro" w:hAnsi="Source Sans Pro"/>
                <w:sz w:val="15"/>
                <w:szCs w:val="13"/>
              </w:rPr>
            </w:pPr>
            <w:r w:rsidRPr="009A0C17">
              <w:rPr>
                <w:rFonts w:ascii="Source Sans Pro" w:hAnsi="Source Sans Pro"/>
                <w:sz w:val="15"/>
                <w:szCs w:val="13"/>
              </w:rPr>
              <w:t>Investment in participatory activities targeted at residents with most complex needs and barriers</w:t>
            </w:r>
          </w:p>
        </w:tc>
        <w:tc>
          <w:tcPr>
            <w:tcW w:w="1980" w:type="dxa"/>
            <w:tcBorders>
              <w:top w:val="single" w:sz="8" w:space="0" w:color="FF5000" w:themeColor="accent6"/>
              <w:left w:val="nil"/>
              <w:bottom w:val="single" w:sz="8" w:space="0" w:color="FF5000" w:themeColor="accent6"/>
              <w:right w:val="nil"/>
            </w:tcBorders>
            <w:shd w:val="clear" w:color="auto" w:fill="FFFFFF"/>
            <w:tcMar>
              <w:top w:w="72" w:type="dxa"/>
              <w:left w:w="144" w:type="dxa"/>
              <w:bottom w:w="72" w:type="dxa"/>
              <w:right w:w="144" w:type="dxa"/>
            </w:tcMar>
            <w:vAlign w:val="center"/>
          </w:tcPr>
          <w:p w14:paraId="54C602D2" w14:textId="27E96315" w:rsidR="00754E83" w:rsidRPr="009A0C17" w:rsidRDefault="00754E83" w:rsidP="009A1CF9">
            <w:pPr>
              <w:pStyle w:val="TableBullet"/>
              <w:ind w:left="198" w:hanging="170"/>
              <w:rPr>
                <w:rFonts w:ascii="Source Sans Pro" w:hAnsi="Source Sans Pro"/>
                <w:sz w:val="15"/>
                <w:szCs w:val="13"/>
              </w:rPr>
            </w:pPr>
            <w:r w:rsidRPr="009A0C17">
              <w:rPr>
                <w:rFonts w:ascii="Source Sans Pro" w:hAnsi="Source Sans Pro"/>
                <w:sz w:val="15"/>
                <w:szCs w:val="13"/>
              </w:rPr>
              <w:t xml:space="preserve">Activities under </w:t>
            </w:r>
            <w:r w:rsidR="0017101D" w:rsidRPr="009A0C17">
              <w:rPr>
                <w:rFonts w:ascii="Source Sans Pro" w:hAnsi="Source Sans Pro"/>
                <w:sz w:val="15"/>
                <w:szCs w:val="13"/>
              </w:rPr>
              <w:t xml:space="preserve">reformed </w:t>
            </w:r>
            <w:r w:rsidRPr="009A0C17">
              <w:rPr>
                <w:rFonts w:ascii="Source Sans Pro" w:hAnsi="Source Sans Pro"/>
                <w:sz w:val="15"/>
                <w:szCs w:val="13"/>
              </w:rPr>
              <w:t>Workspace</w:t>
            </w:r>
            <w:r w:rsidR="0017101D" w:rsidRPr="009A0C17">
              <w:rPr>
                <w:rFonts w:ascii="Source Sans Pro" w:hAnsi="Source Sans Pro"/>
                <w:sz w:val="15"/>
                <w:szCs w:val="13"/>
              </w:rPr>
              <w:t xml:space="preserve"> </w:t>
            </w:r>
            <w:r w:rsidRPr="009A0C17">
              <w:rPr>
                <w:rFonts w:ascii="Source Sans Pro" w:hAnsi="Source Sans Pro"/>
                <w:sz w:val="15"/>
                <w:szCs w:val="13"/>
              </w:rPr>
              <w:t xml:space="preserve">to </w:t>
            </w:r>
            <w:r w:rsidR="009A1CF9" w:rsidRPr="009A0C17">
              <w:rPr>
                <w:rFonts w:ascii="Source Sans Pro" w:hAnsi="Source Sans Pro"/>
                <w:sz w:val="15"/>
                <w:szCs w:val="13"/>
              </w:rPr>
              <w:t>prepare workforce</w:t>
            </w:r>
            <w:r w:rsidRPr="009A0C17">
              <w:rPr>
                <w:rFonts w:ascii="Source Sans Pro" w:hAnsi="Source Sans Pro"/>
                <w:sz w:val="15"/>
                <w:szCs w:val="13"/>
              </w:rPr>
              <w:t xml:space="preserve"> </w:t>
            </w:r>
            <w:r w:rsidR="004B0AB6">
              <w:rPr>
                <w:rFonts w:ascii="Source Sans Pro" w:hAnsi="Source Sans Pro"/>
                <w:sz w:val="15"/>
                <w:szCs w:val="13"/>
              </w:rPr>
              <w:t>for opportunities</w:t>
            </w:r>
          </w:p>
        </w:tc>
        <w:tc>
          <w:tcPr>
            <w:tcW w:w="2022" w:type="dxa"/>
            <w:tcBorders>
              <w:top w:val="single" w:sz="8" w:space="0" w:color="FF5000" w:themeColor="accent6"/>
              <w:left w:val="nil"/>
              <w:bottom w:val="single" w:sz="8" w:space="0" w:color="FF5000" w:themeColor="accent6"/>
              <w:right w:val="nil"/>
            </w:tcBorders>
            <w:shd w:val="clear" w:color="auto" w:fill="FFDCCC" w:themeFill="accent6" w:themeFillTint="33"/>
            <w:vAlign w:val="center"/>
          </w:tcPr>
          <w:p w14:paraId="4B67168B" w14:textId="77777777" w:rsidR="00754E83" w:rsidRPr="009A0C17" w:rsidRDefault="00754E83" w:rsidP="009A1CF9">
            <w:pPr>
              <w:pStyle w:val="TableBullet"/>
              <w:numPr>
                <w:ilvl w:val="0"/>
                <w:numId w:val="0"/>
              </w:numPr>
              <w:ind w:left="425"/>
              <w:rPr>
                <w:rFonts w:ascii="Source Sans Pro" w:hAnsi="Source Sans Pro"/>
                <w:sz w:val="15"/>
                <w:szCs w:val="13"/>
              </w:rPr>
            </w:pPr>
          </w:p>
        </w:tc>
        <w:tc>
          <w:tcPr>
            <w:tcW w:w="2100" w:type="dxa"/>
            <w:tcBorders>
              <w:top w:val="single" w:sz="8" w:space="0" w:color="FF5000" w:themeColor="accent6"/>
              <w:left w:val="nil"/>
              <w:bottom w:val="single" w:sz="8" w:space="0" w:color="FF5000" w:themeColor="accent6"/>
              <w:right w:val="nil"/>
            </w:tcBorders>
            <w:shd w:val="clear" w:color="auto" w:fill="FFFFFF"/>
            <w:vAlign w:val="center"/>
          </w:tcPr>
          <w:p w14:paraId="4CD8ADAF" w14:textId="77777777" w:rsidR="00754E83" w:rsidRPr="009A0C17" w:rsidRDefault="00754E83" w:rsidP="009A1CF9">
            <w:pPr>
              <w:pStyle w:val="TableBullet"/>
              <w:ind w:left="198" w:hanging="170"/>
              <w:rPr>
                <w:rFonts w:ascii="Source Sans Pro" w:hAnsi="Source Sans Pro"/>
                <w:sz w:val="15"/>
                <w:szCs w:val="13"/>
              </w:rPr>
            </w:pPr>
            <w:r w:rsidRPr="009A0C17">
              <w:rPr>
                <w:rFonts w:ascii="Source Sans Pro" w:hAnsi="Source Sans Pro"/>
                <w:sz w:val="15"/>
                <w:szCs w:val="13"/>
              </w:rPr>
              <w:t>Monitoring of success of Caxton Works and lessons – proactive work to stimulate demand if needed</w:t>
            </w:r>
          </w:p>
        </w:tc>
      </w:tr>
      <w:tr w:rsidR="00754E83" w:rsidRPr="005D49F2" w14:paraId="2B456CF8" w14:textId="77777777" w:rsidTr="0097080E">
        <w:trPr>
          <w:trHeight w:val="239"/>
        </w:trPr>
        <w:tc>
          <w:tcPr>
            <w:tcW w:w="126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264CCC6E" w14:textId="77777777" w:rsidR="00754E83" w:rsidRPr="00D17E9A" w:rsidRDefault="00754E83" w:rsidP="00832E59">
            <w:pPr>
              <w:pStyle w:val="TableTitleInTable"/>
              <w:jc w:val="center"/>
              <w:rPr>
                <w:rFonts w:ascii="Source Sans Pro" w:eastAsia="Yu Gothic UI" w:hAnsi="Source Sans Pro"/>
                <w:b/>
                <w:bCs/>
                <w:color w:val="052D3F" w:themeColor="accent1"/>
                <w:sz w:val="16"/>
                <w:szCs w:val="12"/>
                <w:lang w:val="en-US"/>
              </w:rPr>
            </w:pPr>
            <w:r w:rsidRPr="00D17E9A">
              <w:rPr>
                <w:rFonts w:ascii="Source Sans Pro" w:eastAsia="Yu Gothic UI" w:hAnsi="Source Sans Pro"/>
                <w:b/>
                <w:bCs/>
                <w:color w:val="052D3F" w:themeColor="accent1"/>
                <w:sz w:val="16"/>
                <w:szCs w:val="12"/>
                <w:lang w:val="en-US"/>
              </w:rPr>
              <w:t>Custom House</w:t>
            </w:r>
          </w:p>
        </w:tc>
        <w:tc>
          <w:tcPr>
            <w:tcW w:w="2070" w:type="dxa"/>
            <w:tcBorders>
              <w:top w:val="single" w:sz="8" w:space="0" w:color="FF5000" w:themeColor="accent6"/>
              <w:left w:val="nil"/>
              <w:bottom w:val="single" w:sz="8" w:space="0" w:color="FF5000" w:themeColor="accent6"/>
              <w:right w:val="nil"/>
            </w:tcBorders>
            <w:vAlign w:val="center"/>
          </w:tcPr>
          <w:p w14:paraId="6B4B6CED" w14:textId="689E9A2B" w:rsidR="00754E83" w:rsidRPr="009A0C17" w:rsidRDefault="00B078FE" w:rsidP="009A1CF9">
            <w:pPr>
              <w:pStyle w:val="TableBullet"/>
              <w:ind w:left="198" w:hanging="170"/>
              <w:rPr>
                <w:rFonts w:ascii="Source Sans Pro" w:hAnsi="Source Sans Pro"/>
                <w:sz w:val="15"/>
                <w:szCs w:val="13"/>
              </w:rPr>
            </w:pPr>
            <w:r w:rsidRPr="009A0C17">
              <w:rPr>
                <w:rFonts w:ascii="Source Sans Pro" w:hAnsi="Source Sans Pro"/>
                <w:sz w:val="15"/>
                <w:szCs w:val="13"/>
              </w:rPr>
              <w:t>Investment in participatory activities targeted at residents with most complex needs and barriers</w:t>
            </w:r>
          </w:p>
        </w:tc>
        <w:tc>
          <w:tcPr>
            <w:tcW w:w="1980" w:type="dxa"/>
            <w:tcBorders>
              <w:top w:val="single" w:sz="8" w:space="0" w:color="FF5000" w:themeColor="accent6"/>
              <w:left w:val="nil"/>
              <w:bottom w:val="single" w:sz="8" w:space="0" w:color="FF5000" w:themeColor="accent6"/>
              <w:right w:val="nil"/>
            </w:tcBorders>
            <w:shd w:val="clear" w:color="auto" w:fill="FFFFFF"/>
            <w:tcMar>
              <w:top w:w="72" w:type="dxa"/>
              <w:left w:w="144" w:type="dxa"/>
              <w:bottom w:w="72" w:type="dxa"/>
              <w:right w:w="144" w:type="dxa"/>
            </w:tcMar>
            <w:vAlign w:val="center"/>
          </w:tcPr>
          <w:p w14:paraId="479EBF8D" w14:textId="60958B77" w:rsidR="00754E83" w:rsidRPr="009A0C17" w:rsidRDefault="00B078FE" w:rsidP="009A1CF9">
            <w:pPr>
              <w:pStyle w:val="TableBullet"/>
              <w:ind w:left="198" w:hanging="170"/>
              <w:rPr>
                <w:rFonts w:ascii="Source Sans Pro" w:hAnsi="Source Sans Pro"/>
                <w:sz w:val="15"/>
                <w:szCs w:val="13"/>
              </w:rPr>
            </w:pPr>
            <w:r w:rsidRPr="009A0C17">
              <w:rPr>
                <w:rFonts w:ascii="Source Sans Pro" w:hAnsi="Source Sans Pro"/>
                <w:sz w:val="15"/>
                <w:szCs w:val="13"/>
              </w:rPr>
              <w:t xml:space="preserve">Activities under reformed Workspace to prepare workforce </w:t>
            </w:r>
            <w:r>
              <w:rPr>
                <w:rFonts w:ascii="Source Sans Pro" w:hAnsi="Source Sans Pro"/>
                <w:sz w:val="15"/>
                <w:szCs w:val="13"/>
              </w:rPr>
              <w:t>for opportunities</w:t>
            </w:r>
          </w:p>
        </w:tc>
        <w:tc>
          <w:tcPr>
            <w:tcW w:w="2022" w:type="dxa"/>
            <w:tcBorders>
              <w:top w:val="single" w:sz="8" w:space="0" w:color="FF5000" w:themeColor="accent6"/>
              <w:left w:val="nil"/>
              <w:bottom w:val="single" w:sz="8" w:space="0" w:color="FF5000" w:themeColor="accent6"/>
              <w:right w:val="nil"/>
            </w:tcBorders>
            <w:shd w:val="clear" w:color="auto" w:fill="FFFFFF"/>
            <w:vAlign w:val="center"/>
          </w:tcPr>
          <w:p w14:paraId="30275D04" w14:textId="34367B72" w:rsidR="00754E83" w:rsidRPr="009A0C17" w:rsidRDefault="00754E83" w:rsidP="009A1CF9">
            <w:pPr>
              <w:pStyle w:val="TableBullet"/>
              <w:ind w:left="198" w:hanging="170"/>
              <w:rPr>
                <w:rFonts w:ascii="Source Sans Pro" w:hAnsi="Source Sans Pro"/>
                <w:sz w:val="15"/>
                <w:szCs w:val="13"/>
              </w:rPr>
            </w:pPr>
            <w:r w:rsidRPr="009A0C17">
              <w:rPr>
                <w:rFonts w:ascii="Source Sans Pro" w:hAnsi="Source Sans Pro"/>
                <w:sz w:val="15"/>
                <w:szCs w:val="13"/>
              </w:rPr>
              <w:t xml:space="preserve">Targeted support to </w:t>
            </w:r>
            <w:r w:rsidR="001C0AD5" w:rsidRPr="009A0C17">
              <w:rPr>
                <w:rFonts w:ascii="Source Sans Pro" w:hAnsi="Source Sans Pro"/>
                <w:sz w:val="15"/>
                <w:szCs w:val="13"/>
              </w:rPr>
              <w:t>encourage</w:t>
            </w:r>
            <w:r w:rsidRPr="009A0C17">
              <w:rPr>
                <w:rFonts w:ascii="Source Sans Pro" w:hAnsi="Source Sans Pro"/>
                <w:sz w:val="15"/>
                <w:szCs w:val="13"/>
              </w:rPr>
              <w:t xml:space="preserve"> residents to set up businesses / test business ideas – benefiting from enhanced Crossrail footfall</w:t>
            </w:r>
          </w:p>
        </w:tc>
        <w:tc>
          <w:tcPr>
            <w:tcW w:w="2100" w:type="dxa"/>
            <w:tcBorders>
              <w:top w:val="single" w:sz="8" w:space="0" w:color="FF5000" w:themeColor="accent6"/>
              <w:left w:val="nil"/>
              <w:bottom w:val="single" w:sz="8" w:space="0" w:color="FF5000" w:themeColor="accent6"/>
              <w:right w:val="nil"/>
            </w:tcBorders>
            <w:shd w:val="clear" w:color="auto" w:fill="FFFFFF"/>
            <w:vAlign w:val="center"/>
          </w:tcPr>
          <w:p w14:paraId="71281F4B" w14:textId="436C90BB" w:rsidR="001C0AD5" w:rsidRPr="009A0C17" w:rsidRDefault="00754E83" w:rsidP="009D2349">
            <w:pPr>
              <w:pStyle w:val="TableBullet"/>
              <w:ind w:left="198" w:hanging="170"/>
              <w:rPr>
                <w:rFonts w:ascii="Source Sans Pro" w:hAnsi="Source Sans Pro"/>
                <w:sz w:val="15"/>
                <w:szCs w:val="13"/>
              </w:rPr>
            </w:pPr>
            <w:r w:rsidRPr="009A0C17">
              <w:rPr>
                <w:rFonts w:ascii="Source Sans Pro" w:hAnsi="Source Sans Pro"/>
                <w:sz w:val="15"/>
                <w:szCs w:val="13"/>
              </w:rPr>
              <w:t>Diversify high street (e.g creative and community hubs) to diversify offer</w:t>
            </w:r>
            <w:r w:rsidR="001C0AD5" w:rsidRPr="009A0C17">
              <w:rPr>
                <w:rFonts w:ascii="Source Sans Pro" w:hAnsi="Source Sans Pro"/>
                <w:sz w:val="15"/>
                <w:szCs w:val="13"/>
              </w:rPr>
              <w:t>;</w:t>
            </w:r>
            <w:r w:rsidR="009D2349" w:rsidRPr="009A0C17">
              <w:rPr>
                <w:rFonts w:ascii="Source Sans Pro" w:hAnsi="Source Sans Pro"/>
                <w:sz w:val="15"/>
                <w:szCs w:val="13"/>
              </w:rPr>
              <w:t xml:space="preserve"> develop p</w:t>
            </w:r>
            <w:r w:rsidR="001C0AD5" w:rsidRPr="009A0C17">
              <w:rPr>
                <w:rFonts w:ascii="Source Sans Pro" w:hAnsi="Source Sans Pro"/>
                <w:sz w:val="15"/>
                <w:szCs w:val="13"/>
              </w:rPr>
              <w:t>ublic sector asset strategy</w:t>
            </w:r>
            <w:r w:rsidR="009D2349" w:rsidRPr="009A0C17">
              <w:rPr>
                <w:rFonts w:ascii="Source Sans Pro" w:hAnsi="Source Sans Pro"/>
                <w:sz w:val="15"/>
                <w:szCs w:val="13"/>
              </w:rPr>
              <w:t xml:space="preserve"> as part of response.</w:t>
            </w:r>
          </w:p>
        </w:tc>
      </w:tr>
      <w:tr w:rsidR="00B2582F" w:rsidRPr="005D49F2" w14:paraId="0EE1F809" w14:textId="77777777" w:rsidTr="0097080E">
        <w:trPr>
          <w:trHeight w:val="239"/>
        </w:trPr>
        <w:tc>
          <w:tcPr>
            <w:tcW w:w="126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773C4025" w14:textId="52E6D39D" w:rsidR="00B2582F" w:rsidRPr="00D17E9A" w:rsidRDefault="00B2582F" w:rsidP="00B2582F">
            <w:pPr>
              <w:pStyle w:val="TableTitleInTable"/>
              <w:jc w:val="center"/>
              <w:rPr>
                <w:rFonts w:ascii="Source Sans Pro" w:eastAsia="Yu Gothic UI" w:hAnsi="Source Sans Pro"/>
                <w:b/>
                <w:bCs/>
                <w:color w:val="052D3F" w:themeColor="accent1"/>
                <w:sz w:val="16"/>
                <w:szCs w:val="12"/>
                <w:lang w:val="en-US"/>
              </w:rPr>
            </w:pPr>
            <w:r w:rsidRPr="00D17E9A">
              <w:rPr>
                <w:rFonts w:ascii="Source Sans Pro" w:eastAsia="Yu Gothic UI" w:hAnsi="Source Sans Pro"/>
                <w:b/>
                <w:bCs/>
                <w:color w:val="052D3F" w:themeColor="accent1"/>
                <w:sz w:val="16"/>
                <w:szCs w:val="12"/>
                <w:lang w:val="en-US"/>
              </w:rPr>
              <w:t>Beckton</w:t>
            </w:r>
          </w:p>
        </w:tc>
        <w:tc>
          <w:tcPr>
            <w:tcW w:w="2070" w:type="dxa"/>
            <w:tcBorders>
              <w:top w:val="single" w:sz="8" w:space="0" w:color="FF5000" w:themeColor="accent6"/>
              <w:left w:val="nil"/>
              <w:bottom w:val="single" w:sz="8" w:space="0" w:color="FF5000" w:themeColor="accent6"/>
              <w:right w:val="nil"/>
            </w:tcBorders>
            <w:vAlign w:val="center"/>
          </w:tcPr>
          <w:p w14:paraId="5D75B17E" w14:textId="438FAFA1" w:rsidR="00B2582F" w:rsidRPr="009A0C17" w:rsidRDefault="00B2582F" w:rsidP="00B2582F">
            <w:pPr>
              <w:pStyle w:val="TableBullet"/>
              <w:ind w:left="198" w:hanging="170"/>
              <w:rPr>
                <w:rFonts w:ascii="Source Sans Pro" w:hAnsi="Source Sans Pro"/>
                <w:sz w:val="15"/>
                <w:szCs w:val="13"/>
              </w:rPr>
            </w:pPr>
            <w:r w:rsidRPr="009A0C17">
              <w:rPr>
                <w:rFonts w:ascii="Source Sans Pro" w:hAnsi="Source Sans Pro"/>
                <w:sz w:val="15"/>
                <w:szCs w:val="13"/>
              </w:rPr>
              <w:t>Investment in participatory activities targeted at residents with most complex needs and barriers</w:t>
            </w:r>
          </w:p>
        </w:tc>
        <w:tc>
          <w:tcPr>
            <w:tcW w:w="1980" w:type="dxa"/>
            <w:tcBorders>
              <w:top w:val="single" w:sz="8" w:space="0" w:color="FF5000" w:themeColor="accent6"/>
              <w:left w:val="nil"/>
              <w:bottom w:val="single" w:sz="8" w:space="0" w:color="FF5000" w:themeColor="accent6"/>
              <w:right w:val="nil"/>
            </w:tcBorders>
            <w:shd w:val="clear" w:color="auto" w:fill="FFFFFF"/>
            <w:tcMar>
              <w:top w:w="72" w:type="dxa"/>
              <w:left w:w="144" w:type="dxa"/>
              <w:bottom w:w="72" w:type="dxa"/>
              <w:right w:w="144" w:type="dxa"/>
            </w:tcMar>
            <w:vAlign w:val="center"/>
          </w:tcPr>
          <w:p w14:paraId="072717E7" w14:textId="6ECADAA5" w:rsidR="00B2582F" w:rsidRPr="009A0C17" w:rsidRDefault="00B078FE" w:rsidP="00B2582F">
            <w:pPr>
              <w:pStyle w:val="TableBullet"/>
              <w:ind w:left="198" w:hanging="170"/>
              <w:rPr>
                <w:rFonts w:ascii="Source Sans Pro" w:hAnsi="Source Sans Pro"/>
                <w:sz w:val="15"/>
                <w:szCs w:val="13"/>
              </w:rPr>
            </w:pPr>
            <w:r w:rsidRPr="009A0C17">
              <w:rPr>
                <w:rFonts w:ascii="Source Sans Pro" w:hAnsi="Source Sans Pro"/>
                <w:sz w:val="15"/>
                <w:szCs w:val="13"/>
              </w:rPr>
              <w:t xml:space="preserve">Activities under reformed Workspace to prepare workforce </w:t>
            </w:r>
            <w:r>
              <w:rPr>
                <w:rFonts w:ascii="Source Sans Pro" w:hAnsi="Source Sans Pro"/>
                <w:sz w:val="15"/>
                <w:szCs w:val="13"/>
              </w:rPr>
              <w:t>for opportunities</w:t>
            </w:r>
          </w:p>
        </w:tc>
        <w:tc>
          <w:tcPr>
            <w:tcW w:w="2022" w:type="dxa"/>
            <w:tcBorders>
              <w:top w:val="single" w:sz="8" w:space="0" w:color="FF5000" w:themeColor="accent6"/>
              <w:left w:val="nil"/>
              <w:bottom w:val="single" w:sz="8" w:space="0" w:color="FF5000" w:themeColor="accent6"/>
              <w:right w:val="nil"/>
            </w:tcBorders>
            <w:shd w:val="clear" w:color="auto" w:fill="FFFFFF"/>
            <w:vAlign w:val="center"/>
          </w:tcPr>
          <w:p w14:paraId="01CCA654" w14:textId="77B3FE51" w:rsidR="00B2582F" w:rsidRPr="009A0C17" w:rsidRDefault="00550F56" w:rsidP="00B2582F">
            <w:pPr>
              <w:pStyle w:val="TableBullet"/>
              <w:ind w:left="198" w:hanging="170"/>
              <w:rPr>
                <w:rFonts w:ascii="Source Sans Pro" w:hAnsi="Source Sans Pro"/>
                <w:sz w:val="15"/>
                <w:szCs w:val="13"/>
              </w:rPr>
            </w:pPr>
            <w:r w:rsidRPr="009A0C17">
              <w:rPr>
                <w:rFonts w:ascii="Source Sans Pro" w:hAnsi="Source Sans Pro"/>
                <w:sz w:val="15"/>
                <w:szCs w:val="13"/>
              </w:rPr>
              <w:t>Developing pipeline of Newham businesses and residents wanting to take on space in new town centre</w:t>
            </w:r>
          </w:p>
        </w:tc>
        <w:tc>
          <w:tcPr>
            <w:tcW w:w="2100" w:type="dxa"/>
            <w:tcBorders>
              <w:top w:val="single" w:sz="8" w:space="0" w:color="FF5000" w:themeColor="accent6"/>
              <w:left w:val="nil"/>
              <w:bottom w:val="single" w:sz="8" w:space="0" w:color="FF5000" w:themeColor="accent6"/>
              <w:right w:val="nil"/>
            </w:tcBorders>
            <w:shd w:val="clear" w:color="auto" w:fill="FFFFFF"/>
            <w:vAlign w:val="center"/>
          </w:tcPr>
          <w:p w14:paraId="27065169" w14:textId="2297770E" w:rsidR="00B2582F" w:rsidRPr="009A0C17" w:rsidRDefault="00B2582F" w:rsidP="00B2582F">
            <w:pPr>
              <w:pStyle w:val="TableBullet"/>
              <w:ind w:left="198" w:hanging="170"/>
              <w:rPr>
                <w:rFonts w:ascii="Source Sans Pro" w:hAnsi="Source Sans Pro"/>
                <w:sz w:val="15"/>
                <w:szCs w:val="13"/>
              </w:rPr>
            </w:pPr>
            <w:r w:rsidRPr="009A0C17">
              <w:rPr>
                <w:rFonts w:ascii="Source Sans Pro" w:hAnsi="Source Sans Pro"/>
                <w:sz w:val="15"/>
                <w:szCs w:val="13"/>
              </w:rPr>
              <w:t>Scoping of new workspace typologies via masterplans</w:t>
            </w:r>
          </w:p>
          <w:p w14:paraId="23159AD7" w14:textId="386DFE7D" w:rsidR="00B2582F" w:rsidRPr="009A0C17" w:rsidRDefault="00B2582F" w:rsidP="00B2582F">
            <w:pPr>
              <w:pStyle w:val="TableBullet"/>
              <w:ind w:left="198" w:hanging="170"/>
              <w:rPr>
                <w:rFonts w:ascii="Source Sans Pro" w:hAnsi="Source Sans Pro"/>
                <w:sz w:val="15"/>
                <w:szCs w:val="13"/>
              </w:rPr>
            </w:pPr>
            <w:r w:rsidRPr="009A0C17">
              <w:rPr>
                <w:rFonts w:ascii="Source Sans Pro" w:hAnsi="Source Sans Pro"/>
                <w:sz w:val="15"/>
                <w:szCs w:val="13"/>
              </w:rPr>
              <w:t>Early scoping of town centre demand and mix</w:t>
            </w:r>
          </w:p>
        </w:tc>
      </w:tr>
      <w:tr w:rsidR="00754E83" w:rsidRPr="005D49F2" w14:paraId="6AD89DFA" w14:textId="77777777" w:rsidTr="0097080E">
        <w:trPr>
          <w:trHeight w:val="239"/>
        </w:trPr>
        <w:tc>
          <w:tcPr>
            <w:tcW w:w="126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21722F27" w14:textId="77777777" w:rsidR="00754E83" w:rsidRPr="00D17E9A" w:rsidRDefault="00754E83" w:rsidP="00832E59">
            <w:pPr>
              <w:pStyle w:val="TableTitleInTable"/>
              <w:jc w:val="center"/>
              <w:rPr>
                <w:rFonts w:ascii="Source Sans Pro" w:eastAsia="Yu Gothic UI" w:hAnsi="Source Sans Pro"/>
                <w:b/>
                <w:bCs/>
                <w:color w:val="052D3F" w:themeColor="accent1"/>
                <w:sz w:val="16"/>
                <w:szCs w:val="12"/>
                <w:lang w:val="en-US"/>
              </w:rPr>
            </w:pPr>
            <w:r w:rsidRPr="00D17E9A">
              <w:rPr>
                <w:rFonts w:ascii="Source Sans Pro" w:eastAsia="Yu Gothic UI" w:hAnsi="Source Sans Pro"/>
                <w:b/>
                <w:bCs/>
                <w:color w:val="052D3F" w:themeColor="accent1"/>
                <w:sz w:val="16"/>
                <w:szCs w:val="12"/>
                <w:lang w:val="en-US"/>
              </w:rPr>
              <w:t xml:space="preserve">North Woolwich </w:t>
            </w:r>
          </w:p>
        </w:tc>
        <w:tc>
          <w:tcPr>
            <w:tcW w:w="2070" w:type="dxa"/>
            <w:tcBorders>
              <w:top w:val="single" w:sz="8" w:space="0" w:color="FF5000" w:themeColor="accent6"/>
              <w:left w:val="nil"/>
              <w:bottom w:val="single" w:sz="8" w:space="0" w:color="FF5000" w:themeColor="accent6"/>
              <w:right w:val="nil"/>
            </w:tcBorders>
            <w:vAlign w:val="center"/>
          </w:tcPr>
          <w:p w14:paraId="66A100D2" w14:textId="00D8445D" w:rsidR="00B2582F" w:rsidRPr="009A0C17" w:rsidRDefault="00B2582F" w:rsidP="009A1CF9">
            <w:pPr>
              <w:pStyle w:val="TableBullet"/>
              <w:ind w:left="198" w:hanging="170"/>
              <w:rPr>
                <w:rFonts w:ascii="Source Sans Pro" w:hAnsi="Source Sans Pro"/>
                <w:sz w:val="15"/>
                <w:szCs w:val="13"/>
              </w:rPr>
            </w:pPr>
            <w:r w:rsidRPr="009A0C17">
              <w:rPr>
                <w:rFonts w:ascii="Source Sans Pro" w:hAnsi="Source Sans Pro"/>
                <w:sz w:val="15"/>
                <w:szCs w:val="13"/>
              </w:rPr>
              <w:t>As above</w:t>
            </w:r>
          </w:p>
          <w:p w14:paraId="3487A277" w14:textId="2C3ACB96" w:rsidR="00754E83" w:rsidRPr="009A0C17" w:rsidRDefault="00754E83" w:rsidP="009A1CF9">
            <w:pPr>
              <w:pStyle w:val="TableBullet"/>
              <w:ind w:left="198" w:hanging="170"/>
              <w:rPr>
                <w:rFonts w:ascii="Source Sans Pro" w:hAnsi="Source Sans Pro"/>
                <w:sz w:val="15"/>
                <w:szCs w:val="13"/>
              </w:rPr>
            </w:pPr>
            <w:r w:rsidRPr="009A0C17">
              <w:rPr>
                <w:rFonts w:ascii="Source Sans Pro" w:hAnsi="Source Sans Pro"/>
                <w:sz w:val="15"/>
                <w:szCs w:val="13"/>
              </w:rPr>
              <w:t xml:space="preserve">Piloting community transport </w:t>
            </w:r>
          </w:p>
          <w:p w14:paraId="429205D9" w14:textId="27357AFF" w:rsidR="00754E83" w:rsidRPr="009A0C17" w:rsidRDefault="004B0AB6" w:rsidP="00B2582F">
            <w:pPr>
              <w:pStyle w:val="TableBullet"/>
              <w:ind w:left="198" w:hanging="170"/>
              <w:rPr>
                <w:rFonts w:ascii="Source Sans Pro" w:hAnsi="Source Sans Pro"/>
                <w:sz w:val="15"/>
                <w:szCs w:val="13"/>
              </w:rPr>
            </w:pPr>
            <w:r>
              <w:rPr>
                <w:rFonts w:ascii="Source Sans Pro" w:hAnsi="Source Sans Pro"/>
                <w:sz w:val="15"/>
                <w:szCs w:val="13"/>
              </w:rPr>
              <w:t>D</w:t>
            </w:r>
            <w:r w:rsidR="00754E83" w:rsidRPr="009A0C17">
              <w:rPr>
                <w:rFonts w:ascii="Source Sans Pro" w:hAnsi="Source Sans Pro"/>
                <w:sz w:val="15"/>
                <w:szCs w:val="13"/>
              </w:rPr>
              <w:t xml:space="preserve">elivery of London Regen Fund Create London project </w:t>
            </w:r>
          </w:p>
        </w:tc>
        <w:tc>
          <w:tcPr>
            <w:tcW w:w="1980" w:type="dxa"/>
            <w:tcBorders>
              <w:top w:val="single" w:sz="8" w:space="0" w:color="FF5000" w:themeColor="accent6"/>
              <w:left w:val="nil"/>
              <w:bottom w:val="single" w:sz="8" w:space="0" w:color="FF5000" w:themeColor="accent6"/>
              <w:right w:val="nil"/>
            </w:tcBorders>
            <w:shd w:val="clear" w:color="auto" w:fill="FFFFFF"/>
            <w:tcMar>
              <w:top w:w="72" w:type="dxa"/>
              <w:left w:w="144" w:type="dxa"/>
              <w:bottom w:w="72" w:type="dxa"/>
              <w:right w:w="144" w:type="dxa"/>
            </w:tcMar>
            <w:vAlign w:val="center"/>
          </w:tcPr>
          <w:p w14:paraId="76F73729" w14:textId="368A9F24" w:rsidR="00754E83" w:rsidRPr="009A0C17" w:rsidRDefault="00B078FE" w:rsidP="009A1CF9">
            <w:pPr>
              <w:pStyle w:val="TableBullet"/>
              <w:ind w:left="198" w:hanging="170"/>
              <w:rPr>
                <w:rFonts w:ascii="Source Sans Pro" w:hAnsi="Source Sans Pro"/>
                <w:sz w:val="15"/>
                <w:szCs w:val="13"/>
              </w:rPr>
            </w:pPr>
            <w:r w:rsidRPr="009A0C17">
              <w:rPr>
                <w:rFonts w:ascii="Source Sans Pro" w:hAnsi="Source Sans Pro"/>
                <w:sz w:val="15"/>
                <w:szCs w:val="13"/>
              </w:rPr>
              <w:t xml:space="preserve">Activities under reformed Workspace to prepare workforce </w:t>
            </w:r>
            <w:r>
              <w:rPr>
                <w:rFonts w:ascii="Source Sans Pro" w:hAnsi="Source Sans Pro"/>
                <w:sz w:val="15"/>
                <w:szCs w:val="13"/>
              </w:rPr>
              <w:t>for opportunities</w:t>
            </w:r>
          </w:p>
        </w:tc>
        <w:tc>
          <w:tcPr>
            <w:tcW w:w="2022" w:type="dxa"/>
            <w:tcBorders>
              <w:top w:val="single" w:sz="8" w:space="0" w:color="FF5000" w:themeColor="accent6"/>
              <w:left w:val="nil"/>
              <w:bottom w:val="single" w:sz="8" w:space="0" w:color="FF5000" w:themeColor="accent6"/>
              <w:right w:val="nil"/>
            </w:tcBorders>
            <w:shd w:val="clear" w:color="auto" w:fill="FFFFFF"/>
            <w:vAlign w:val="center"/>
          </w:tcPr>
          <w:p w14:paraId="050C1E3A" w14:textId="5C00CBFF" w:rsidR="00754E83" w:rsidRPr="009A0C17" w:rsidRDefault="00550F56" w:rsidP="009A1CF9">
            <w:pPr>
              <w:pStyle w:val="TableBullet"/>
              <w:ind w:left="198" w:hanging="170"/>
              <w:rPr>
                <w:rFonts w:ascii="Source Sans Pro" w:hAnsi="Source Sans Pro"/>
                <w:sz w:val="15"/>
                <w:szCs w:val="13"/>
              </w:rPr>
            </w:pPr>
            <w:r w:rsidRPr="009A0C17">
              <w:rPr>
                <w:rFonts w:ascii="Source Sans Pro" w:hAnsi="Source Sans Pro"/>
                <w:sz w:val="15"/>
                <w:szCs w:val="13"/>
              </w:rPr>
              <w:t>Targeted</w:t>
            </w:r>
            <w:r w:rsidR="00754E83" w:rsidRPr="009A0C17">
              <w:rPr>
                <w:rFonts w:ascii="Source Sans Pro" w:hAnsi="Source Sans Pro"/>
                <w:sz w:val="15"/>
                <w:szCs w:val="13"/>
              </w:rPr>
              <w:t xml:space="preserve"> support to encourage local residents to set up businesses / test business ideas</w:t>
            </w:r>
          </w:p>
        </w:tc>
        <w:tc>
          <w:tcPr>
            <w:tcW w:w="2100" w:type="dxa"/>
            <w:tcBorders>
              <w:top w:val="single" w:sz="8" w:space="0" w:color="FF5000" w:themeColor="accent6"/>
              <w:left w:val="nil"/>
              <w:bottom w:val="single" w:sz="8" w:space="0" w:color="FF5000" w:themeColor="accent6"/>
              <w:right w:val="nil"/>
            </w:tcBorders>
            <w:shd w:val="clear" w:color="auto" w:fill="FFFFFF"/>
            <w:vAlign w:val="center"/>
          </w:tcPr>
          <w:p w14:paraId="3CF05423" w14:textId="3D93EF52" w:rsidR="00754E83" w:rsidRPr="009A0C17" w:rsidRDefault="00754E83" w:rsidP="009A1CF9">
            <w:pPr>
              <w:pStyle w:val="TableBullet"/>
              <w:ind w:left="198" w:hanging="170"/>
              <w:rPr>
                <w:rFonts w:ascii="Source Sans Pro" w:hAnsi="Source Sans Pro"/>
                <w:sz w:val="15"/>
                <w:szCs w:val="13"/>
              </w:rPr>
            </w:pPr>
            <w:r w:rsidRPr="009A0C17">
              <w:rPr>
                <w:rFonts w:ascii="Source Sans Pro" w:hAnsi="Source Sans Pro"/>
                <w:sz w:val="15"/>
                <w:szCs w:val="13"/>
              </w:rPr>
              <w:t xml:space="preserve">Developing spaces to support urban agriculture and food </w:t>
            </w:r>
            <w:r w:rsidR="003064C5" w:rsidRPr="009A0C17">
              <w:rPr>
                <w:rFonts w:ascii="Source Sans Pro" w:hAnsi="Source Sans Pro"/>
                <w:sz w:val="15"/>
                <w:szCs w:val="13"/>
              </w:rPr>
              <w:t>production -</w:t>
            </w:r>
            <w:r w:rsidRPr="009A0C17">
              <w:rPr>
                <w:rFonts w:ascii="Source Sans Pro" w:hAnsi="Source Sans Pro"/>
                <w:sz w:val="15"/>
                <w:szCs w:val="13"/>
              </w:rPr>
              <w:t xml:space="preserve"> possible link</w:t>
            </w:r>
            <w:r w:rsidR="00550F56" w:rsidRPr="009A0C17">
              <w:rPr>
                <w:rFonts w:ascii="Source Sans Pro" w:hAnsi="Source Sans Pro"/>
                <w:sz w:val="15"/>
                <w:szCs w:val="13"/>
              </w:rPr>
              <w:t xml:space="preserve">s </w:t>
            </w:r>
            <w:r w:rsidRPr="009A0C17">
              <w:rPr>
                <w:rFonts w:ascii="Source Sans Pro" w:hAnsi="Source Sans Pro"/>
                <w:sz w:val="15"/>
                <w:szCs w:val="13"/>
              </w:rPr>
              <w:t>to Tate and Lyle</w:t>
            </w:r>
          </w:p>
        </w:tc>
      </w:tr>
      <w:tr w:rsidR="00754E83" w:rsidRPr="005D49F2" w14:paraId="2DD0EFF8" w14:textId="77777777" w:rsidTr="003064C5">
        <w:trPr>
          <w:trHeight w:val="239"/>
        </w:trPr>
        <w:tc>
          <w:tcPr>
            <w:tcW w:w="9432" w:type="dxa"/>
            <w:gridSpan w:val="5"/>
            <w:tcBorders>
              <w:top w:val="single" w:sz="8" w:space="0" w:color="FF5000" w:themeColor="accent6"/>
              <w:left w:val="nil"/>
              <w:bottom w:val="single" w:sz="8" w:space="0" w:color="FF5000" w:themeColor="accent6"/>
              <w:right w:val="nil"/>
            </w:tcBorders>
            <w:shd w:val="clear" w:color="auto" w:fill="F2F2F2" w:themeFill="background1" w:themeFillShade="F2"/>
            <w:tcMar>
              <w:top w:w="72" w:type="dxa"/>
              <w:left w:w="144" w:type="dxa"/>
              <w:bottom w:w="72" w:type="dxa"/>
              <w:right w:w="144" w:type="dxa"/>
            </w:tcMar>
            <w:vAlign w:val="center"/>
          </w:tcPr>
          <w:p w14:paraId="4DB4D80B" w14:textId="77777777" w:rsidR="00754E83" w:rsidRPr="00F94780" w:rsidRDefault="00754E83" w:rsidP="009A1CF9">
            <w:pPr>
              <w:pStyle w:val="TableTitleInTable"/>
              <w:spacing w:before="0" w:after="0"/>
              <w:rPr>
                <w:rFonts w:ascii="Source Sans Pro" w:hAnsi="Source Sans Pro"/>
                <w:b/>
                <w:color w:val="FF5000" w:themeColor="accent6"/>
                <w:sz w:val="20"/>
                <w:szCs w:val="12"/>
              </w:rPr>
            </w:pPr>
            <w:r w:rsidRPr="003064C5">
              <w:rPr>
                <w:b/>
                <w:i/>
                <w:color w:val="FF5000" w:themeColor="accent6"/>
                <w:sz w:val="18"/>
                <w:szCs w:val="12"/>
              </w:rPr>
              <w:t>City Anchors and Local Assets</w:t>
            </w:r>
          </w:p>
        </w:tc>
      </w:tr>
      <w:tr w:rsidR="00F933AD" w:rsidRPr="005D49F2" w14:paraId="2B8D95B0" w14:textId="77777777" w:rsidTr="0097080E">
        <w:trPr>
          <w:trHeight w:val="239"/>
        </w:trPr>
        <w:tc>
          <w:tcPr>
            <w:tcW w:w="126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4392CBFE" w14:textId="77777777" w:rsidR="00F933AD" w:rsidRPr="00D17E9A" w:rsidRDefault="00F933AD" w:rsidP="00F933AD">
            <w:pPr>
              <w:pStyle w:val="TableTitleInTable"/>
              <w:jc w:val="center"/>
              <w:rPr>
                <w:rFonts w:ascii="Source Sans Pro" w:eastAsia="Yu Gothic UI" w:hAnsi="Source Sans Pro"/>
                <w:b/>
                <w:bCs/>
                <w:color w:val="052D3F" w:themeColor="accent1"/>
                <w:sz w:val="16"/>
                <w:szCs w:val="12"/>
                <w:lang w:val="en-US"/>
              </w:rPr>
            </w:pPr>
            <w:r w:rsidRPr="00D17E9A">
              <w:rPr>
                <w:rFonts w:ascii="Source Sans Pro" w:eastAsia="Yu Gothic UI" w:hAnsi="Source Sans Pro"/>
                <w:b/>
                <w:bCs/>
                <w:color w:val="052D3F" w:themeColor="accent1"/>
                <w:sz w:val="16"/>
                <w:szCs w:val="12"/>
                <w:lang w:val="en-US"/>
              </w:rPr>
              <w:t>City Airport</w:t>
            </w:r>
          </w:p>
        </w:tc>
        <w:tc>
          <w:tcPr>
            <w:tcW w:w="2070" w:type="dxa"/>
            <w:tcBorders>
              <w:top w:val="single" w:sz="8" w:space="0" w:color="FF5000" w:themeColor="accent6"/>
              <w:left w:val="nil"/>
              <w:right w:val="nil"/>
            </w:tcBorders>
            <w:shd w:val="clear" w:color="auto" w:fill="auto"/>
          </w:tcPr>
          <w:p w14:paraId="71A8B360" w14:textId="6706B507" w:rsidR="00F933AD" w:rsidRPr="00C06E02" w:rsidRDefault="00F933AD" w:rsidP="00C06E02">
            <w:pPr>
              <w:pStyle w:val="TableBullet"/>
              <w:ind w:left="198" w:hanging="170"/>
              <w:rPr>
                <w:rFonts w:ascii="Source Sans Pro" w:hAnsi="Source Sans Pro"/>
                <w:sz w:val="15"/>
                <w:szCs w:val="13"/>
              </w:rPr>
            </w:pPr>
            <w:r w:rsidRPr="00CF0600">
              <w:rPr>
                <w:rFonts w:ascii="Source Sans Pro" w:hAnsi="Source Sans Pro"/>
                <w:sz w:val="15"/>
                <w:szCs w:val="13"/>
              </w:rPr>
              <w:t>Supporting community transport initiative</w:t>
            </w:r>
            <w:r>
              <w:rPr>
                <w:rFonts w:ascii="Source Sans Pro" w:hAnsi="Source Sans Pro"/>
                <w:sz w:val="15"/>
                <w:szCs w:val="13"/>
              </w:rPr>
              <w:t>s</w:t>
            </w:r>
          </w:p>
        </w:tc>
        <w:tc>
          <w:tcPr>
            <w:tcW w:w="1980" w:type="dxa"/>
            <w:vMerge w:val="restart"/>
            <w:tcBorders>
              <w:top w:val="single" w:sz="8" w:space="0" w:color="FF5000" w:themeColor="accent6"/>
              <w:left w:val="nil"/>
              <w:right w:val="nil"/>
            </w:tcBorders>
            <w:shd w:val="clear" w:color="auto" w:fill="FFFFFF"/>
            <w:tcMar>
              <w:top w:w="72" w:type="dxa"/>
              <w:left w:w="144" w:type="dxa"/>
              <w:bottom w:w="72" w:type="dxa"/>
              <w:right w:w="144" w:type="dxa"/>
            </w:tcMar>
            <w:vAlign w:val="center"/>
          </w:tcPr>
          <w:p w14:paraId="6FF65D7D" w14:textId="6EB3DC6B" w:rsidR="00F933AD" w:rsidRPr="009A0C17" w:rsidRDefault="00C74BD7" w:rsidP="00F933AD">
            <w:pPr>
              <w:pStyle w:val="TableBullet"/>
              <w:ind w:left="198" w:hanging="170"/>
              <w:rPr>
                <w:rFonts w:ascii="Source Sans Pro" w:hAnsi="Source Sans Pro"/>
                <w:sz w:val="15"/>
                <w:szCs w:val="13"/>
              </w:rPr>
            </w:pPr>
            <w:r>
              <w:rPr>
                <w:rFonts w:ascii="Source Sans Pro" w:hAnsi="Source Sans Pro"/>
                <w:sz w:val="15"/>
                <w:szCs w:val="13"/>
              </w:rPr>
              <w:t>Partners on reformed Workplace</w:t>
            </w:r>
            <w:r w:rsidR="00F933AD" w:rsidRPr="009A0C17">
              <w:rPr>
                <w:rFonts w:ascii="Source Sans Pro" w:hAnsi="Source Sans Pro"/>
                <w:sz w:val="15"/>
                <w:szCs w:val="13"/>
              </w:rPr>
              <w:t xml:space="preserve"> to develop an initial committed pipeline of employment, internship and work experience opportunities</w:t>
            </w:r>
          </w:p>
        </w:tc>
        <w:tc>
          <w:tcPr>
            <w:tcW w:w="2022" w:type="dxa"/>
            <w:tcBorders>
              <w:top w:val="single" w:sz="8" w:space="0" w:color="FF5000" w:themeColor="accent6"/>
              <w:left w:val="nil"/>
              <w:bottom w:val="single" w:sz="8" w:space="0" w:color="FF5000" w:themeColor="accent6"/>
              <w:right w:val="nil"/>
            </w:tcBorders>
            <w:shd w:val="clear" w:color="auto" w:fill="FFFFFF"/>
            <w:vAlign w:val="center"/>
          </w:tcPr>
          <w:p w14:paraId="596D68BD" w14:textId="0DB70738" w:rsidR="00F933AD" w:rsidRPr="009A0C17" w:rsidRDefault="00F933AD" w:rsidP="00F933AD">
            <w:pPr>
              <w:pStyle w:val="TableBullet"/>
              <w:ind w:left="198" w:hanging="170"/>
              <w:rPr>
                <w:rFonts w:ascii="Source Sans Pro" w:hAnsi="Source Sans Pro"/>
                <w:sz w:val="15"/>
                <w:szCs w:val="13"/>
              </w:rPr>
            </w:pPr>
            <w:r>
              <w:rPr>
                <w:rFonts w:ascii="Source Sans Pro" w:hAnsi="Source Sans Pro"/>
                <w:sz w:val="15"/>
                <w:szCs w:val="13"/>
              </w:rPr>
              <w:t>L</w:t>
            </w:r>
            <w:r w:rsidRPr="009A0C17">
              <w:rPr>
                <w:rFonts w:ascii="Source Sans Pro" w:hAnsi="Source Sans Pro"/>
                <w:sz w:val="15"/>
                <w:szCs w:val="13"/>
              </w:rPr>
              <w:t>ocal supply chains – inc. meet the buyer</w:t>
            </w:r>
          </w:p>
        </w:tc>
        <w:tc>
          <w:tcPr>
            <w:tcW w:w="2100" w:type="dxa"/>
            <w:tcBorders>
              <w:top w:val="single" w:sz="8" w:space="0" w:color="FF5000" w:themeColor="accent6"/>
              <w:left w:val="nil"/>
              <w:bottom w:val="single" w:sz="8" w:space="0" w:color="FF5000" w:themeColor="accent6"/>
              <w:right w:val="nil"/>
            </w:tcBorders>
            <w:shd w:val="clear" w:color="auto" w:fill="FFDCCC" w:themeFill="accent6" w:themeFillTint="33"/>
            <w:vAlign w:val="center"/>
          </w:tcPr>
          <w:p w14:paraId="5557FCE4" w14:textId="77777777" w:rsidR="00F933AD" w:rsidRPr="009A0C17" w:rsidRDefault="00F933AD" w:rsidP="00F933AD">
            <w:pPr>
              <w:pStyle w:val="TableBullet"/>
              <w:numPr>
                <w:ilvl w:val="0"/>
                <w:numId w:val="0"/>
              </w:numPr>
              <w:ind w:left="425"/>
              <w:rPr>
                <w:rFonts w:ascii="Source Sans Pro" w:hAnsi="Source Sans Pro"/>
                <w:sz w:val="15"/>
                <w:szCs w:val="13"/>
              </w:rPr>
            </w:pPr>
          </w:p>
        </w:tc>
      </w:tr>
      <w:tr w:rsidR="00F933AD" w:rsidRPr="005D49F2" w14:paraId="1576634C" w14:textId="77777777" w:rsidTr="0097080E">
        <w:trPr>
          <w:trHeight w:val="239"/>
        </w:trPr>
        <w:tc>
          <w:tcPr>
            <w:tcW w:w="126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71B45920" w14:textId="77777777" w:rsidR="00F933AD" w:rsidRPr="00D17E9A" w:rsidRDefault="00F933AD" w:rsidP="00F933AD">
            <w:pPr>
              <w:pStyle w:val="TableTitleInTable"/>
              <w:jc w:val="center"/>
              <w:rPr>
                <w:rFonts w:ascii="Source Sans Pro" w:eastAsia="Yu Gothic UI" w:hAnsi="Source Sans Pro"/>
                <w:b/>
                <w:bCs/>
                <w:color w:val="052D3F" w:themeColor="accent1"/>
                <w:sz w:val="16"/>
                <w:szCs w:val="12"/>
                <w:lang w:val="en-US"/>
              </w:rPr>
            </w:pPr>
            <w:r w:rsidRPr="00D17E9A">
              <w:rPr>
                <w:rFonts w:ascii="Source Sans Pro" w:eastAsia="Yu Gothic UI" w:hAnsi="Source Sans Pro"/>
                <w:b/>
                <w:bCs/>
                <w:color w:val="052D3F" w:themeColor="accent1"/>
                <w:sz w:val="16"/>
                <w:szCs w:val="12"/>
                <w:lang w:val="en-US"/>
              </w:rPr>
              <w:t>Excel</w:t>
            </w:r>
          </w:p>
        </w:tc>
        <w:tc>
          <w:tcPr>
            <w:tcW w:w="2070" w:type="dxa"/>
            <w:tcBorders>
              <w:left w:val="nil"/>
              <w:right w:val="nil"/>
            </w:tcBorders>
            <w:shd w:val="clear" w:color="auto" w:fill="auto"/>
          </w:tcPr>
          <w:p w14:paraId="2ECC18D0" w14:textId="41BBBAAD" w:rsidR="00F933AD" w:rsidRPr="00C06E02" w:rsidRDefault="00B078FE" w:rsidP="00C06E02">
            <w:pPr>
              <w:pStyle w:val="TableBullet"/>
              <w:ind w:left="198" w:hanging="170"/>
              <w:rPr>
                <w:rFonts w:ascii="Source Sans Pro" w:hAnsi="Source Sans Pro"/>
                <w:sz w:val="15"/>
                <w:szCs w:val="13"/>
              </w:rPr>
            </w:pPr>
            <w:r w:rsidRPr="00CF0600">
              <w:rPr>
                <w:rFonts w:ascii="Source Sans Pro" w:hAnsi="Source Sans Pro"/>
                <w:sz w:val="15"/>
                <w:szCs w:val="13"/>
              </w:rPr>
              <w:t>Supporting community transport initiative</w:t>
            </w:r>
            <w:r>
              <w:rPr>
                <w:rFonts w:ascii="Source Sans Pro" w:hAnsi="Source Sans Pro"/>
                <w:sz w:val="15"/>
                <w:szCs w:val="13"/>
              </w:rPr>
              <w:t>s</w:t>
            </w:r>
          </w:p>
        </w:tc>
        <w:tc>
          <w:tcPr>
            <w:tcW w:w="1980" w:type="dxa"/>
            <w:vMerge/>
            <w:tcBorders>
              <w:left w:val="nil"/>
              <w:right w:val="nil"/>
            </w:tcBorders>
            <w:shd w:val="clear" w:color="auto" w:fill="FFFFFF"/>
            <w:tcMar>
              <w:top w:w="72" w:type="dxa"/>
              <w:left w:w="144" w:type="dxa"/>
              <w:bottom w:w="72" w:type="dxa"/>
              <w:right w:w="144" w:type="dxa"/>
            </w:tcMar>
            <w:vAlign w:val="center"/>
          </w:tcPr>
          <w:p w14:paraId="66E0A486" w14:textId="77777777" w:rsidR="00F933AD" w:rsidRPr="009A0C17" w:rsidRDefault="00F933AD" w:rsidP="00F933AD">
            <w:pPr>
              <w:pStyle w:val="TableBullet"/>
              <w:ind w:left="198" w:hanging="170"/>
              <w:rPr>
                <w:rFonts w:ascii="Source Sans Pro" w:hAnsi="Source Sans Pro"/>
                <w:sz w:val="15"/>
                <w:szCs w:val="13"/>
              </w:rPr>
            </w:pPr>
          </w:p>
        </w:tc>
        <w:tc>
          <w:tcPr>
            <w:tcW w:w="2022" w:type="dxa"/>
            <w:tcBorders>
              <w:top w:val="single" w:sz="8" w:space="0" w:color="FF5000" w:themeColor="accent6"/>
              <w:left w:val="nil"/>
              <w:bottom w:val="single" w:sz="8" w:space="0" w:color="FF5000" w:themeColor="accent6"/>
              <w:right w:val="nil"/>
            </w:tcBorders>
            <w:shd w:val="clear" w:color="auto" w:fill="FFFFFF"/>
            <w:vAlign w:val="center"/>
          </w:tcPr>
          <w:p w14:paraId="53149506" w14:textId="403C10F1" w:rsidR="00F933AD" w:rsidRPr="009A0C17" w:rsidRDefault="00F933AD" w:rsidP="00F933AD">
            <w:pPr>
              <w:pStyle w:val="TableBullet"/>
              <w:ind w:left="198" w:hanging="170"/>
              <w:rPr>
                <w:rFonts w:ascii="Source Sans Pro" w:hAnsi="Source Sans Pro"/>
                <w:sz w:val="15"/>
                <w:szCs w:val="13"/>
              </w:rPr>
            </w:pPr>
            <w:r>
              <w:rPr>
                <w:rFonts w:ascii="Source Sans Pro" w:hAnsi="Source Sans Pro"/>
                <w:sz w:val="15"/>
                <w:szCs w:val="13"/>
              </w:rPr>
              <w:t>L</w:t>
            </w:r>
            <w:r w:rsidRPr="009A0C17">
              <w:rPr>
                <w:rFonts w:ascii="Source Sans Pro" w:hAnsi="Source Sans Pro"/>
                <w:sz w:val="15"/>
                <w:szCs w:val="13"/>
              </w:rPr>
              <w:t xml:space="preserve">ocal supply chains – particularly via events </w:t>
            </w:r>
          </w:p>
        </w:tc>
        <w:tc>
          <w:tcPr>
            <w:tcW w:w="2100" w:type="dxa"/>
            <w:tcBorders>
              <w:top w:val="single" w:sz="8" w:space="0" w:color="FF5000" w:themeColor="accent6"/>
              <w:left w:val="nil"/>
              <w:bottom w:val="single" w:sz="8" w:space="0" w:color="FF5000" w:themeColor="accent6"/>
              <w:right w:val="nil"/>
            </w:tcBorders>
            <w:shd w:val="clear" w:color="auto" w:fill="FFFFFF"/>
            <w:vAlign w:val="center"/>
          </w:tcPr>
          <w:p w14:paraId="57A5FA0B" w14:textId="023DA4D3" w:rsidR="00F933AD" w:rsidRPr="009A0C17" w:rsidRDefault="00F933AD" w:rsidP="00F933AD">
            <w:pPr>
              <w:pStyle w:val="TableBullet"/>
              <w:ind w:left="198" w:hanging="170"/>
              <w:rPr>
                <w:rFonts w:ascii="Source Sans Pro" w:hAnsi="Source Sans Pro"/>
                <w:sz w:val="15"/>
                <w:szCs w:val="13"/>
              </w:rPr>
            </w:pPr>
            <w:r>
              <w:rPr>
                <w:rFonts w:ascii="Source Sans Pro" w:hAnsi="Source Sans Pro"/>
                <w:sz w:val="15"/>
                <w:szCs w:val="13"/>
              </w:rPr>
              <w:t>Coordination</w:t>
            </w:r>
            <w:r w:rsidRPr="009A0C17">
              <w:rPr>
                <w:rFonts w:ascii="Source Sans Pro" w:hAnsi="Source Sans Pro"/>
                <w:sz w:val="15"/>
                <w:szCs w:val="13"/>
              </w:rPr>
              <w:t xml:space="preserve"> of future space supply </w:t>
            </w:r>
            <w:r>
              <w:rPr>
                <w:rFonts w:ascii="Source Sans Pro" w:hAnsi="Source Sans Pro"/>
                <w:sz w:val="15"/>
                <w:szCs w:val="13"/>
              </w:rPr>
              <w:t>via</w:t>
            </w:r>
            <w:r w:rsidRPr="009A0C17">
              <w:rPr>
                <w:rFonts w:ascii="Source Sans Pro" w:hAnsi="Source Sans Pro"/>
                <w:sz w:val="15"/>
                <w:szCs w:val="13"/>
              </w:rPr>
              <w:t xml:space="preserve"> masterplanning </w:t>
            </w:r>
          </w:p>
        </w:tc>
      </w:tr>
      <w:tr w:rsidR="00754E83" w:rsidRPr="005D49F2" w14:paraId="7F886A9C" w14:textId="77777777" w:rsidTr="0097080E">
        <w:trPr>
          <w:trHeight w:val="239"/>
        </w:trPr>
        <w:tc>
          <w:tcPr>
            <w:tcW w:w="126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79CC1247" w14:textId="77777777" w:rsidR="00754E83" w:rsidRPr="00D17E9A" w:rsidRDefault="00754E83" w:rsidP="00832E59">
            <w:pPr>
              <w:pStyle w:val="TableTitleInTable"/>
              <w:jc w:val="center"/>
              <w:rPr>
                <w:rFonts w:ascii="Source Sans Pro" w:eastAsia="Yu Gothic UI" w:hAnsi="Source Sans Pro"/>
                <w:b/>
                <w:bCs/>
                <w:color w:val="052D3F" w:themeColor="accent1"/>
                <w:sz w:val="16"/>
                <w:szCs w:val="12"/>
                <w:lang w:val="en-US"/>
              </w:rPr>
            </w:pPr>
            <w:r w:rsidRPr="00D17E9A">
              <w:rPr>
                <w:rFonts w:ascii="Source Sans Pro" w:eastAsia="Yu Gothic UI" w:hAnsi="Source Sans Pro"/>
                <w:b/>
                <w:bCs/>
                <w:color w:val="052D3F" w:themeColor="accent1"/>
                <w:sz w:val="16"/>
                <w:szCs w:val="12"/>
                <w:lang w:val="en-US"/>
              </w:rPr>
              <w:t xml:space="preserve">UEL </w:t>
            </w:r>
          </w:p>
        </w:tc>
        <w:tc>
          <w:tcPr>
            <w:tcW w:w="2070" w:type="dxa"/>
            <w:tcBorders>
              <w:left w:val="nil"/>
              <w:right w:val="nil"/>
            </w:tcBorders>
            <w:shd w:val="clear" w:color="auto" w:fill="auto"/>
            <w:vAlign w:val="center"/>
          </w:tcPr>
          <w:p w14:paraId="24E62C6C" w14:textId="1E55A06B" w:rsidR="00754E83" w:rsidRPr="00D17E9A" w:rsidRDefault="00A54464" w:rsidP="004945C0">
            <w:pPr>
              <w:pStyle w:val="TableBullet"/>
              <w:ind w:left="198" w:hanging="170"/>
              <w:rPr>
                <w:rFonts w:ascii="Source Sans Pro" w:eastAsia="Yu Gothic UI" w:hAnsi="Source Sans Pro"/>
                <w:sz w:val="12"/>
                <w:szCs w:val="12"/>
              </w:rPr>
            </w:pPr>
            <w:r>
              <w:rPr>
                <w:rFonts w:ascii="Source Sans Pro" w:hAnsi="Source Sans Pro"/>
                <w:sz w:val="15"/>
                <w:szCs w:val="13"/>
              </w:rPr>
              <w:t xml:space="preserve">Potential partner on </w:t>
            </w:r>
            <w:r w:rsidR="004945C0">
              <w:rPr>
                <w:rFonts w:ascii="Source Sans Pro" w:hAnsi="Source Sans Pro"/>
                <w:sz w:val="15"/>
                <w:szCs w:val="13"/>
              </w:rPr>
              <w:t>youth enterprise via expertise &amp; Knowledge Docks</w:t>
            </w:r>
          </w:p>
        </w:tc>
        <w:tc>
          <w:tcPr>
            <w:tcW w:w="1980" w:type="dxa"/>
            <w:vMerge/>
            <w:tcBorders>
              <w:left w:val="nil"/>
              <w:right w:val="nil"/>
            </w:tcBorders>
            <w:shd w:val="clear" w:color="auto" w:fill="FFFFFF"/>
            <w:tcMar>
              <w:top w:w="72" w:type="dxa"/>
              <w:left w:w="144" w:type="dxa"/>
              <w:bottom w:w="72" w:type="dxa"/>
              <w:right w:w="144" w:type="dxa"/>
            </w:tcMar>
            <w:vAlign w:val="center"/>
          </w:tcPr>
          <w:p w14:paraId="2D43042D" w14:textId="77777777" w:rsidR="00754E83" w:rsidRPr="009A0C17" w:rsidRDefault="00754E83" w:rsidP="009A1CF9">
            <w:pPr>
              <w:pStyle w:val="TableBullet"/>
              <w:ind w:left="198" w:hanging="170"/>
              <w:rPr>
                <w:rFonts w:ascii="Source Sans Pro" w:hAnsi="Source Sans Pro"/>
                <w:sz w:val="15"/>
                <w:szCs w:val="13"/>
              </w:rPr>
            </w:pPr>
          </w:p>
        </w:tc>
        <w:tc>
          <w:tcPr>
            <w:tcW w:w="2022" w:type="dxa"/>
            <w:tcBorders>
              <w:top w:val="single" w:sz="8" w:space="0" w:color="FF5000" w:themeColor="accent6"/>
              <w:left w:val="nil"/>
              <w:bottom w:val="single" w:sz="8" w:space="0" w:color="FF5000" w:themeColor="accent6"/>
              <w:right w:val="nil"/>
            </w:tcBorders>
            <w:shd w:val="clear" w:color="auto" w:fill="FFFFFF"/>
            <w:vAlign w:val="center"/>
          </w:tcPr>
          <w:p w14:paraId="7F03FD1F" w14:textId="4C700F1C" w:rsidR="00754E83" w:rsidRPr="009A0C17" w:rsidRDefault="00F77A0A" w:rsidP="009A1CF9">
            <w:pPr>
              <w:pStyle w:val="TableBullet"/>
              <w:ind w:left="198" w:hanging="170"/>
              <w:rPr>
                <w:rFonts w:ascii="Source Sans Pro" w:hAnsi="Source Sans Pro"/>
                <w:sz w:val="15"/>
                <w:szCs w:val="13"/>
              </w:rPr>
            </w:pPr>
            <w:r>
              <w:rPr>
                <w:rFonts w:ascii="Source Sans Pro" w:hAnsi="Source Sans Pro"/>
                <w:sz w:val="15"/>
                <w:szCs w:val="13"/>
              </w:rPr>
              <w:t>E</w:t>
            </w:r>
            <w:r w:rsidR="00754E83" w:rsidRPr="009A0C17">
              <w:rPr>
                <w:rFonts w:ascii="Source Sans Pro" w:hAnsi="Source Sans Pro"/>
                <w:sz w:val="15"/>
                <w:szCs w:val="13"/>
              </w:rPr>
              <w:t xml:space="preserve">volution of ‘Knowledge Dock’ </w:t>
            </w:r>
            <w:r>
              <w:rPr>
                <w:rFonts w:ascii="Source Sans Pro" w:hAnsi="Source Sans Pro"/>
                <w:sz w:val="15"/>
                <w:szCs w:val="13"/>
              </w:rPr>
              <w:t xml:space="preserve">, </w:t>
            </w:r>
            <w:r w:rsidR="00754E83" w:rsidRPr="009A0C17">
              <w:rPr>
                <w:rFonts w:ascii="Source Sans Pro" w:hAnsi="Source Sans Pro"/>
                <w:sz w:val="15"/>
                <w:szCs w:val="13"/>
              </w:rPr>
              <w:t>link</w:t>
            </w:r>
            <w:r>
              <w:rPr>
                <w:rFonts w:ascii="Source Sans Pro" w:hAnsi="Source Sans Pro"/>
                <w:sz w:val="15"/>
                <w:szCs w:val="13"/>
              </w:rPr>
              <w:t>ing with</w:t>
            </w:r>
            <w:r w:rsidR="00754E83" w:rsidRPr="009A0C17">
              <w:rPr>
                <w:rFonts w:ascii="Source Sans Pro" w:hAnsi="Source Sans Pro"/>
                <w:sz w:val="15"/>
                <w:szCs w:val="13"/>
              </w:rPr>
              <w:t xml:space="preserve"> business at ABP and Albert Island</w:t>
            </w:r>
          </w:p>
        </w:tc>
        <w:tc>
          <w:tcPr>
            <w:tcW w:w="2100" w:type="dxa"/>
            <w:tcBorders>
              <w:top w:val="single" w:sz="8" w:space="0" w:color="FF5000" w:themeColor="accent6"/>
              <w:left w:val="nil"/>
              <w:bottom w:val="single" w:sz="8" w:space="0" w:color="FF5000" w:themeColor="accent6"/>
              <w:right w:val="nil"/>
            </w:tcBorders>
            <w:shd w:val="clear" w:color="auto" w:fill="FFDCCC" w:themeFill="accent6" w:themeFillTint="33"/>
            <w:vAlign w:val="center"/>
          </w:tcPr>
          <w:p w14:paraId="5712991A" w14:textId="77777777" w:rsidR="00754E83" w:rsidRPr="009A0C17" w:rsidRDefault="00754E83" w:rsidP="009A1CF9">
            <w:pPr>
              <w:pStyle w:val="TableBullet"/>
              <w:numPr>
                <w:ilvl w:val="0"/>
                <w:numId w:val="0"/>
              </w:numPr>
              <w:ind w:left="85"/>
              <w:rPr>
                <w:rFonts w:ascii="Source Sans Pro" w:hAnsi="Source Sans Pro"/>
                <w:sz w:val="15"/>
                <w:szCs w:val="13"/>
              </w:rPr>
            </w:pPr>
          </w:p>
        </w:tc>
      </w:tr>
      <w:tr w:rsidR="00754E83" w:rsidRPr="005D49F2" w14:paraId="20B34168" w14:textId="77777777" w:rsidTr="0097080E">
        <w:trPr>
          <w:trHeight w:val="239"/>
        </w:trPr>
        <w:tc>
          <w:tcPr>
            <w:tcW w:w="126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2F6EDFA7" w14:textId="77777777" w:rsidR="00754E83" w:rsidRPr="00D17E9A" w:rsidRDefault="00754E83" w:rsidP="00832E59">
            <w:pPr>
              <w:pStyle w:val="TableTitleInTable"/>
              <w:jc w:val="center"/>
              <w:rPr>
                <w:rFonts w:ascii="Source Sans Pro" w:eastAsia="Yu Gothic UI" w:hAnsi="Source Sans Pro"/>
                <w:b/>
                <w:bCs/>
                <w:color w:val="052D3F" w:themeColor="accent1"/>
                <w:sz w:val="16"/>
                <w:szCs w:val="12"/>
                <w:lang w:val="en-US"/>
              </w:rPr>
            </w:pPr>
            <w:r w:rsidRPr="00D17E9A">
              <w:rPr>
                <w:rFonts w:ascii="Source Sans Pro" w:eastAsia="Yu Gothic UI" w:hAnsi="Source Sans Pro"/>
                <w:b/>
                <w:bCs/>
                <w:color w:val="052D3F" w:themeColor="accent1"/>
                <w:sz w:val="16"/>
                <w:szCs w:val="12"/>
                <w:lang w:val="en-US"/>
              </w:rPr>
              <w:t xml:space="preserve">Tate and Lyle </w:t>
            </w:r>
          </w:p>
        </w:tc>
        <w:tc>
          <w:tcPr>
            <w:tcW w:w="2070" w:type="dxa"/>
            <w:tcBorders>
              <w:left w:val="nil"/>
              <w:right w:val="nil"/>
            </w:tcBorders>
            <w:shd w:val="clear" w:color="auto" w:fill="auto"/>
            <w:vAlign w:val="center"/>
          </w:tcPr>
          <w:p w14:paraId="4B86E29C" w14:textId="612323FC" w:rsidR="009650EF" w:rsidRPr="00D17E9A" w:rsidRDefault="009650EF" w:rsidP="0085274E">
            <w:pPr>
              <w:pStyle w:val="TableBullet"/>
              <w:ind w:left="198" w:hanging="170"/>
              <w:rPr>
                <w:rFonts w:ascii="Source Sans Pro" w:eastAsia="Yu Gothic UI" w:hAnsi="Source Sans Pro"/>
                <w:sz w:val="12"/>
                <w:szCs w:val="12"/>
              </w:rPr>
            </w:pPr>
            <w:r w:rsidRPr="00F933AD">
              <w:rPr>
                <w:rFonts w:ascii="Source Sans Pro" w:hAnsi="Source Sans Pro"/>
                <w:sz w:val="15"/>
                <w:szCs w:val="13"/>
              </w:rPr>
              <w:t>Supporting community transport initiative</w:t>
            </w:r>
            <w:r w:rsidR="0085274E">
              <w:rPr>
                <w:rFonts w:ascii="Source Sans Pro" w:hAnsi="Source Sans Pro"/>
                <w:sz w:val="15"/>
                <w:szCs w:val="13"/>
              </w:rPr>
              <w:t>; p</w:t>
            </w:r>
            <w:r w:rsidR="00F933AD" w:rsidRPr="00F933AD">
              <w:rPr>
                <w:rFonts w:ascii="Source Sans Pro" w:hAnsi="Source Sans Pro"/>
                <w:sz w:val="15"/>
                <w:szCs w:val="13"/>
              </w:rPr>
              <w:t>otential</w:t>
            </w:r>
            <w:r w:rsidRPr="00F933AD">
              <w:rPr>
                <w:rFonts w:ascii="Source Sans Pro" w:hAnsi="Source Sans Pro"/>
                <w:sz w:val="15"/>
                <w:szCs w:val="13"/>
              </w:rPr>
              <w:t xml:space="preserve"> </w:t>
            </w:r>
            <w:r w:rsidRPr="00F933AD">
              <w:rPr>
                <w:rFonts w:ascii="Source Sans Pro" w:hAnsi="Source Sans Pro"/>
                <w:sz w:val="15"/>
                <w:szCs w:val="13"/>
              </w:rPr>
              <w:lastRenderedPageBreak/>
              <w:t xml:space="preserve">host of youth </w:t>
            </w:r>
            <w:r w:rsidR="00F933AD" w:rsidRPr="00F933AD">
              <w:rPr>
                <w:rFonts w:ascii="Source Sans Pro" w:hAnsi="Source Sans Pro"/>
                <w:sz w:val="15"/>
                <w:szCs w:val="13"/>
              </w:rPr>
              <w:t>enterprise</w:t>
            </w:r>
            <w:r w:rsidR="0085274E">
              <w:rPr>
                <w:rFonts w:ascii="Source Sans Pro" w:hAnsi="Source Sans Pro"/>
                <w:sz w:val="15"/>
                <w:szCs w:val="13"/>
              </w:rPr>
              <w:t xml:space="preserve"> space</w:t>
            </w:r>
            <w:r>
              <w:rPr>
                <w:rFonts w:ascii="Source Sans Pro" w:eastAsia="Yu Gothic UI" w:hAnsi="Source Sans Pro"/>
                <w:sz w:val="12"/>
                <w:szCs w:val="12"/>
              </w:rPr>
              <w:t xml:space="preserve"> </w:t>
            </w:r>
          </w:p>
        </w:tc>
        <w:tc>
          <w:tcPr>
            <w:tcW w:w="1980" w:type="dxa"/>
            <w:vMerge/>
            <w:tcBorders>
              <w:left w:val="nil"/>
              <w:right w:val="nil"/>
            </w:tcBorders>
            <w:shd w:val="clear" w:color="auto" w:fill="FFFFFF"/>
            <w:tcMar>
              <w:top w:w="72" w:type="dxa"/>
              <w:left w:w="144" w:type="dxa"/>
              <w:bottom w:w="72" w:type="dxa"/>
              <w:right w:w="144" w:type="dxa"/>
            </w:tcMar>
            <w:vAlign w:val="center"/>
          </w:tcPr>
          <w:p w14:paraId="10B04574" w14:textId="77777777" w:rsidR="00754E83" w:rsidRPr="009A0C17" w:rsidRDefault="00754E83" w:rsidP="009A1CF9">
            <w:pPr>
              <w:pStyle w:val="TableBullet"/>
              <w:ind w:left="198" w:hanging="170"/>
              <w:rPr>
                <w:rFonts w:ascii="Source Sans Pro" w:hAnsi="Source Sans Pro"/>
                <w:sz w:val="15"/>
                <w:szCs w:val="13"/>
              </w:rPr>
            </w:pPr>
          </w:p>
        </w:tc>
        <w:tc>
          <w:tcPr>
            <w:tcW w:w="2022" w:type="dxa"/>
            <w:tcBorders>
              <w:top w:val="single" w:sz="8" w:space="0" w:color="FF5000" w:themeColor="accent6"/>
              <w:left w:val="nil"/>
              <w:bottom w:val="single" w:sz="8" w:space="0" w:color="FF5000" w:themeColor="accent6"/>
              <w:right w:val="nil"/>
            </w:tcBorders>
            <w:shd w:val="clear" w:color="auto" w:fill="FFFFFF"/>
            <w:vAlign w:val="center"/>
          </w:tcPr>
          <w:p w14:paraId="55653141" w14:textId="77777777" w:rsidR="00754E83" w:rsidRPr="009A0C17" w:rsidRDefault="00754E83" w:rsidP="009A1CF9">
            <w:pPr>
              <w:pStyle w:val="TableBullet"/>
              <w:ind w:left="198" w:hanging="170"/>
              <w:rPr>
                <w:rFonts w:ascii="Source Sans Pro" w:hAnsi="Source Sans Pro"/>
                <w:sz w:val="15"/>
                <w:szCs w:val="13"/>
              </w:rPr>
            </w:pPr>
            <w:r w:rsidRPr="009A0C17">
              <w:rPr>
                <w:rFonts w:ascii="Source Sans Pro" w:hAnsi="Source Sans Pro"/>
                <w:sz w:val="15"/>
                <w:szCs w:val="13"/>
              </w:rPr>
              <w:t>Continued focus on local supply chains – inc meet the buyer</w:t>
            </w:r>
          </w:p>
        </w:tc>
        <w:tc>
          <w:tcPr>
            <w:tcW w:w="2100" w:type="dxa"/>
            <w:tcBorders>
              <w:top w:val="single" w:sz="8" w:space="0" w:color="FF5000" w:themeColor="accent6"/>
              <w:left w:val="nil"/>
              <w:bottom w:val="single" w:sz="8" w:space="0" w:color="FF5000" w:themeColor="accent6"/>
              <w:right w:val="nil"/>
            </w:tcBorders>
            <w:shd w:val="clear" w:color="auto" w:fill="FFFFFF"/>
            <w:vAlign w:val="center"/>
          </w:tcPr>
          <w:p w14:paraId="261F7AB5" w14:textId="4C3D1D3A" w:rsidR="00754E83" w:rsidRPr="009A0C17" w:rsidRDefault="001A367E" w:rsidP="009A1CF9">
            <w:pPr>
              <w:pStyle w:val="TableBullet"/>
              <w:ind w:left="198" w:hanging="170"/>
              <w:rPr>
                <w:rFonts w:ascii="Source Sans Pro" w:hAnsi="Source Sans Pro"/>
                <w:sz w:val="15"/>
                <w:szCs w:val="13"/>
              </w:rPr>
            </w:pPr>
            <w:r>
              <w:rPr>
                <w:rFonts w:ascii="Source Sans Pro" w:hAnsi="Source Sans Pro"/>
                <w:sz w:val="15"/>
                <w:szCs w:val="13"/>
              </w:rPr>
              <w:t>R</w:t>
            </w:r>
            <w:r w:rsidR="00754E83" w:rsidRPr="009A0C17">
              <w:rPr>
                <w:rFonts w:ascii="Source Sans Pro" w:hAnsi="Source Sans Pro"/>
                <w:sz w:val="15"/>
                <w:szCs w:val="13"/>
              </w:rPr>
              <w:t>e-use of vacant industrial space (either temp activation or longer term strategy)</w:t>
            </w:r>
          </w:p>
        </w:tc>
      </w:tr>
      <w:tr w:rsidR="00754E83" w:rsidRPr="00F72A73" w14:paraId="0DB2D53D" w14:textId="77777777" w:rsidTr="0097080E">
        <w:trPr>
          <w:trHeight w:val="239"/>
        </w:trPr>
        <w:tc>
          <w:tcPr>
            <w:tcW w:w="1260" w:type="dxa"/>
            <w:tcBorders>
              <w:top w:val="single" w:sz="8" w:space="0" w:color="FF5000" w:themeColor="accent6"/>
              <w:left w:val="nil"/>
              <w:bottom w:val="single" w:sz="18" w:space="0" w:color="08445E" w:themeColor="accent2"/>
              <w:right w:val="nil"/>
            </w:tcBorders>
            <w:shd w:val="clear" w:color="auto" w:fill="auto"/>
            <w:tcMar>
              <w:top w:w="72" w:type="dxa"/>
              <w:left w:w="144" w:type="dxa"/>
              <w:bottom w:w="72" w:type="dxa"/>
              <w:right w:w="144" w:type="dxa"/>
            </w:tcMar>
            <w:vAlign w:val="center"/>
          </w:tcPr>
          <w:p w14:paraId="17E0E97B" w14:textId="77777777" w:rsidR="00754E83" w:rsidRPr="00D17E9A" w:rsidRDefault="00754E83" w:rsidP="00832E59">
            <w:pPr>
              <w:pStyle w:val="TableTitleInTable"/>
              <w:jc w:val="center"/>
              <w:rPr>
                <w:rFonts w:ascii="Source Sans Pro" w:eastAsia="Yu Gothic UI" w:hAnsi="Source Sans Pro"/>
                <w:b/>
                <w:bCs/>
                <w:color w:val="052D3F" w:themeColor="accent1"/>
                <w:sz w:val="16"/>
                <w:szCs w:val="12"/>
                <w:lang w:val="en-US"/>
              </w:rPr>
            </w:pPr>
            <w:r w:rsidRPr="00D17E9A">
              <w:rPr>
                <w:rFonts w:ascii="Source Sans Pro" w:eastAsia="Yu Gothic UI" w:hAnsi="Source Sans Pro"/>
                <w:b/>
                <w:bCs/>
                <w:color w:val="052D3F" w:themeColor="accent1"/>
                <w:sz w:val="16"/>
                <w:szCs w:val="12"/>
                <w:lang w:val="en-US"/>
              </w:rPr>
              <w:t>LB Newham</w:t>
            </w:r>
          </w:p>
        </w:tc>
        <w:tc>
          <w:tcPr>
            <w:tcW w:w="2070" w:type="dxa"/>
            <w:tcBorders>
              <w:left w:val="nil"/>
              <w:bottom w:val="single" w:sz="18" w:space="0" w:color="08445E" w:themeColor="accent2"/>
              <w:right w:val="nil"/>
            </w:tcBorders>
            <w:shd w:val="clear" w:color="auto" w:fill="auto"/>
            <w:vAlign w:val="center"/>
          </w:tcPr>
          <w:p w14:paraId="2A69DE17" w14:textId="18957EF9" w:rsidR="00754E83" w:rsidRPr="00D17E9A" w:rsidRDefault="00C06E02" w:rsidP="00C74BD7">
            <w:pPr>
              <w:pStyle w:val="TableBullet"/>
              <w:ind w:left="198" w:hanging="170"/>
              <w:rPr>
                <w:rFonts w:ascii="Source Sans Pro" w:eastAsia="Yu Gothic UI" w:hAnsi="Source Sans Pro"/>
                <w:sz w:val="12"/>
                <w:szCs w:val="12"/>
              </w:rPr>
            </w:pPr>
            <w:r w:rsidRPr="00F933AD">
              <w:rPr>
                <w:rFonts w:ascii="Source Sans Pro" w:hAnsi="Source Sans Pro"/>
                <w:sz w:val="15"/>
                <w:szCs w:val="13"/>
              </w:rPr>
              <w:t>Supporting community transport initiative</w:t>
            </w:r>
          </w:p>
        </w:tc>
        <w:tc>
          <w:tcPr>
            <w:tcW w:w="1980" w:type="dxa"/>
            <w:vMerge/>
            <w:tcBorders>
              <w:left w:val="nil"/>
              <w:bottom w:val="single" w:sz="18" w:space="0" w:color="08445E" w:themeColor="accent2"/>
              <w:right w:val="nil"/>
            </w:tcBorders>
            <w:shd w:val="clear" w:color="auto" w:fill="FFFFFF"/>
            <w:tcMar>
              <w:top w:w="72" w:type="dxa"/>
              <w:left w:w="144" w:type="dxa"/>
              <w:bottom w:w="72" w:type="dxa"/>
              <w:right w:w="144" w:type="dxa"/>
            </w:tcMar>
            <w:vAlign w:val="center"/>
          </w:tcPr>
          <w:p w14:paraId="3A79D9FE" w14:textId="77777777" w:rsidR="00754E83" w:rsidRPr="009A0C17" w:rsidRDefault="00754E83" w:rsidP="00832E59">
            <w:pPr>
              <w:pStyle w:val="TableBullet"/>
              <w:ind w:left="198" w:hanging="170"/>
              <w:rPr>
                <w:rFonts w:ascii="Source Sans Pro" w:hAnsi="Source Sans Pro"/>
                <w:sz w:val="15"/>
                <w:szCs w:val="13"/>
              </w:rPr>
            </w:pPr>
          </w:p>
        </w:tc>
        <w:tc>
          <w:tcPr>
            <w:tcW w:w="2022" w:type="dxa"/>
            <w:tcBorders>
              <w:top w:val="single" w:sz="8" w:space="0" w:color="FF5000" w:themeColor="accent6"/>
              <w:left w:val="nil"/>
              <w:bottom w:val="single" w:sz="18" w:space="0" w:color="08445E" w:themeColor="accent2"/>
              <w:right w:val="nil"/>
            </w:tcBorders>
            <w:shd w:val="clear" w:color="auto" w:fill="FFFFFF"/>
            <w:vAlign w:val="center"/>
          </w:tcPr>
          <w:p w14:paraId="6FACC39B" w14:textId="7C21168E" w:rsidR="00754E83" w:rsidRPr="009A0C17" w:rsidRDefault="00754E83" w:rsidP="00832E59">
            <w:pPr>
              <w:pStyle w:val="TableBullet"/>
              <w:ind w:left="198" w:hanging="170"/>
              <w:rPr>
                <w:rFonts w:ascii="Source Sans Pro" w:hAnsi="Source Sans Pro"/>
                <w:sz w:val="15"/>
                <w:szCs w:val="13"/>
              </w:rPr>
            </w:pPr>
            <w:r w:rsidRPr="009A0C17">
              <w:rPr>
                <w:rFonts w:ascii="Source Sans Pro" w:hAnsi="Source Sans Pro"/>
                <w:sz w:val="15"/>
                <w:szCs w:val="13"/>
              </w:rPr>
              <w:t xml:space="preserve">Renewed local procurement </w:t>
            </w:r>
            <w:r w:rsidR="001A367E" w:rsidRPr="009A0C17">
              <w:rPr>
                <w:rFonts w:ascii="Source Sans Pro" w:hAnsi="Source Sans Pro"/>
                <w:sz w:val="15"/>
                <w:szCs w:val="13"/>
              </w:rPr>
              <w:t xml:space="preserve">commitment </w:t>
            </w:r>
            <w:r w:rsidRPr="009A0C17">
              <w:rPr>
                <w:rFonts w:ascii="Source Sans Pro" w:hAnsi="Source Sans Pro"/>
                <w:sz w:val="15"/>
                <w:szCs w:val="13"/>
              </w:rPr>
              <w:t xml:space="preserve">via CWB </w:t>
            </w:r>
          </w:p>
        </w:tc>
        <w:tc>
          <w:tcPr>
            <w:tcW w:w="2100" w:type="dxa"/>
            <w:tcBorders>
              <w:top w:val="single" w:sz="8" w:space="0" w:color="FF5000" w:themeColor="accent6"/>
              <w:left w:val="nil"/>
              <w:bottom w:val="single" w:sz="18" w:space="0" w:color="08445E" w:themeColor="accent2"/>
              <w:right w:val="nil"/>
            </w:tcBorders>
            <w:shd w:val="clear" w:color="auto" w:fill="FFFFFF"/>
            <w:vAlign w:val="center"/>
          </w:tcPr>
          <w:p w14:paraId="51D90572" w14:textId="77777777" w:rsidR="00754E83" w:rsidRPr="009A0C17" w:rsidRDefault="00754E83" w:rsidP="00832E59">
            <w:pPr>
              <w:pStyle w:val="TableBullet"/>
              <w:ind w:left="198" w:hanging="170"/>
              <w:rPr>
                <w:rFonts w:ascii="Source Sans Pro" w:hAnsi="Source Sans Pro"/>
                <w:sz w:val="15"/>
                <w:szCs w:val="13"/>
              </w:rPr>
            </w:pPr>
            <w:r w:rsidRPr="009A0C17">
              <w:rPr>
                <w:rFonts w:ascii="Source Sans Pro" w:hAnsi="Source Sans Pro"/>
                <w:sz w:val="15"/>
                <w:szCs w:val="13"/>
              </w:rPr>
              <w:t>Long term asset strategy for Newham Dockside</w:t>
            </w:r>
          </w:p>
        </w:tc>
      </w:tr>
    </w:tbl>
    <w:p w14:paraId="3018F00F" w14:textId="74313579" w:rsidR="00CC5F21" w:rsidRDefault="005D49F2" w:rsidP="0048543F">
      <w:pPr>
        <w:pStyle w:val="RDTier2"/>
        <w:spacing w:before="60" w:after="60"/>
      </w:pPr>
      <w:r>
        <w:br w:type="page"/>
      </w:r>
      <w:r w:rsidR="00CC5F21">
        <w:lastRenderedPageBreak/>
        <w:t>a. New Economic Hubs</w:t>
      </w:r>
    </w:p>
    <w:p w14:paraId="47BE35CF" w14:textId="6E2E986C" w:rsidR="00CC5F21" w:rsidRDefault="00CC5F21" w:rsidP="00CC5F21">
      <w:pPr>
        <w:pStyle w:val="RDParagraph"/>
      </w:pPr>
      <w:r w:rsidRPr="00DC0171">
        <w:t>These are the l</w:t>
      </w:r>
      <w:r w:rsidRPr="00ED516A">
        <w:t>ocations where</w:t>
      </w:r>
      <w:r>
        <w:t xml:space="preserve"> future</w:t>
      </w:r>
      <w:r w:rsidRPr="00ED516A">
        <w:t xml:space="preserve"> growth and development will be focused</w:t>
      </w:r>
      <w:r w:rsidRPr="00DC0171">
        <w:t>. There is a</w:t>
      </w:r>
      <w:r w:rsidRPr="00ED516A">
        <w:t xml:space="preserve"> need to work </w:t>
      </w:r>
      <w:r>
        <w:t xml:space="preserve">with developers </w:t>
      </w:r>
      <w:r w:rsidRPr="00ED516A">
        <w:t>to steer delivery to ensure coordination and consistency</w:t>
      </w:r>
      <w:r>
        <w:t>,</w:t>
      </w:r>
      <w:r w:rsidRPr="00DC0171">
        <w:t xml:space="preserve"> and a</w:t>
      </w:r>
      <w:r w:rsidRPr="00ED516A">
        <w:t xml:space="preserve"> need </w:t>
      </w:r>
      <w:r>
        <w:t>for focused and proactive action</w:t>
      </w:r>
      <w:r w:rsidRPr="00ED516A">
        <w:t xml:space="preserve"> to secure </w:t>
      </w:r>
      <w:r>
        <w:t xml:space="preserve">commitment and </w:t>
      </w:r>
      <w:r w:rsidRPr="00ED516A">
        <w:t>investment</w:t>
      </w:r>
      <w:r>
        <w:t>:</w:t>
      </w:r>
    </w:p>
    <w:p w14:paraId="67230F2D" w14:textId="3F44D565" w:rsidR="00CC5F21" w:rsidRPr="0049264B" w:rsidRDefault="00CC5F21" w:rsidP="00CC5F21">
      <w:pPr>
        <w:pStyle w:val="RDBullet"/>
        <w:rPr>
          <w:lang w:val="en-US"/>
        </w:rPr>
      </w:pPr>
      <w:r w:rsidRPr="0049264B">
        <w:rPr>
          <w:b/>
        </w:rPr>
        <w:t>Contribution to Royal Docks Purpose:</w:t>
      </w:r>
      <w:r w:rsidRPr="0049264B">
        <w:t xml:space="preserve"> </w:t>
      </w:r>
      <w:r w:rsidRPr="0049264B">
        <w:rPr>
          <w:lang w:val="en-US"/>
        </w:rPr>
        <w:t xml:space="preserve">They will be the main focal point </w:t>
      </w:r>
      <w:r w:rsidR="00705E5A">
        <w:rPr>
          <w:lang w:val="en-US"/>
        </w:rPr>
        <w:t>for</w:t>
      </w:r>
      <w:r w:rsidRPr="0049264B">
        <w:t xml:space="preserve"> delivery against growth targets</w:t>
      </w:r>
      <w:r w:rsidR="00164B1C">
        <w:t xml:space="preserve">, </w:t>
      </w:r>
      <w:r w:rsidRPr="0049264B">
        <w:t>helping to ensure delivery of balanced places and economies</w:t>
      </w:r>
      <w:r w:rsidR="00164B1C">
        <w:t xml:space="preserve"> which serve both the amenity needs of local residents and businesses, along with wider </w:t>
      </w:r>
      <w:r w:rsidR="00122DAC">
        <w:t>economic demand. A focus on</w:t>
      </w:r>
      <w:r w:rsidRPr="0049264B">
        <w:t xml:space="preserve"> place-shaping and identity building</w:t>
      </w:r>
      <w:r w:rsidR="00122DAC">
        <w:t xml:space="preserve"> and the</w:t>
      </w:r>
      <w:r w:rsidRPr="0049264B">
        <w:t xml:space="preserve"> creation of opportunities to deliver </w:t>
      </w:r>
      <w:r w:rsidR="00122DAC">
        <w:t>Newham community wealth building</w:t>
      </w:r>
      <w:r w:rsidRPr="0049264B">
        <w:t xml:space="preserve"> objectives. </w:t>
      </w:r>
    </w:p>
    <w:p w14:paraId="470A2E67" w14:textId="354CA4CC" w:rsidR="00CC5F21" w:rsidRPr="0049264B" w:rsidRDefault="00CC5F21" w:rsidP="00CC5F21">
      <w:pPr>
        <w:pStyle w:val="RDBullet"/>
      </w:pPr>
      <w:r>
        <w:rPr>
          <w:b/>
        </w:rPr>
        <w:t xml:space="preserve">Focal Points </w:t>
      </w:r>
      <w:r w:rsidRPr="0049264B">
        <w:rPr>
          <w:b/>
        </w:rPr>
        <w:t>for Intervention:</w:t>
      </w:r>
      <w:r w:rsidRPr="0049264B">
        <w:t xml:space="preserve"> Partnership development (local and global), workspace </w:t>
      </w:r>
      <w:r>
        <w:t xml:space="preserve">curation and </w:t>
      </w:r>
      <w:r w:rsidRPr="0049264B">
        <w:t>investment, targeted inward investment, focused skills interventions.</w:t>
      </w:r>
    </w:p>
    <w:bookmarkEnd w:id="26"/>
    <w:bookmarkEnd w:id="27"/>
    <w:bookmarkEnd w:id="28"/>
    <w:p w14:paraId="0DEEAF0A" w14:textId="4F49A27D" w:rsidR="000E234E" w:rsidRPr="0062755C" w:rsidRDefault="000E234E" w:rsidP="000E234E">
      <w:pPr>
        <w:spacing w:after="0"/>
        <w:ind w:firstLine="680"/>
        <w:rPr>
          <w:i/>
        </w:rPr>
      </w:pPr>
      <w:r w:rsidRPr="0062755C">
        <w:rPr>
          <w:rFonts w:ascii="Source Sans Pro" w:hAnsi="Source Sans Pro"/>
          <w:b/>
          <w:i/>
          <w:color w:val="052D3F"/>
          <w:sz w:val="20"/>
        </w:rPr>
        <w:t xml:space="preserve">Figure </w:t>
      </w:r>
      <w:r>
        <w:rPr>
          <w:rFonts w:ascii="Source Sans Pro" w:hAnsi="Source Sans Pro"/>
          <w:b/>
          <w:i/>
          <w:color w:val="052D3F"/>
          <w:sz w:val="20"/>
        </w:rPr>
        <w:t>5</w:t>
      </w:r>
      <w:r w:rsidRPr="0062755C">
        <w:rPr>
          <w:rFonts w:ascii="Source Sans Pro" w:hAnsi="Source Sans Pro"/>
          <w:b/>
          <w:i/>
          <w:color w:val="052D3F"/>
          <w:sz w:val="20"/>
        </w:rPr>
        <w:t>.</w:t>
      </w:r>
      <w:r w:rsidR="00603205">
        <w:rPr>
          <w:rFonts w:ascii="Source Sans Pro" w:hAnsi="Source Sans Pro"/>
          <w:b/>
          <w:i/>
          <w:color w:val="052D3F"/>
          <w:sz w:val="20"/>
        </w:rPr>
        <w:t>2</w:t>
      </w:r>
      <w:r w:rsidRPr="0062755C">
        <w:rPr>
          <w:rFonts w:ascii="Source Sans Pro" w:hAnsi="Source Sans Pro"/>
          <w:b/>
          <w:i/>
          <w:color w:val="052D3F"/>
          <w:sz w:val="20"/>
        </w:rPr>
        <w:t xml:space="preserve">. </w:t>
      </w:r>
      <w:r>
        <w:rPr>
          <w:rFonts w:ascii="Source Sans Pro" w:hAnsi="Source Sans Pro"/>
          <w:b/>
          <w:i/>
          <w:color w:val="052D3F"/>
          <w:sz w:val="20"/>
        </w:rPr>
        <w:t>New Economic Hubs – Economic Role and Focus</w:t>
      </w:r>
    </w:p>
    <w:tbl>
      <w:tblPr>
        <w:tblW w:w="0" w:type="auto"/>
        <w:tblInd w:w="709" w:type="dxa"/>
        <w:tblLayout w:type="fixed"/>
        <w:tblCellMar>
          <w:left w:w="0" w:type="dxa"/>
          <w:right w:w="0" w:type="dxa"/>
        </w:tblCellMar>
        <w:tblLook w:val="0420" w:firstRow="1" w:lastRow="0" w:firstColumn="0" w:lastColumn="0" w:noHBand="0" w:noVBand="1"/>
      </w:tblPr>
      <w:tblGrid>
        <w:gridCol w:w="567"/>
        <w:gridCol w:w="2835"/>
        <w:gridCol w:w="1701"/>
        <w:gridCol w:w="3600"/>
      </w:tblGrid>
      <w:tr w:rsidR="006B1D34" w:rsidRPr="00F72A73" w14:paraId="4976483E" w14:textId="0CEF495B" w:rsidTr="008A5D1D">
        <w:trPr>
          <w:trHeight w:val="197"/>
        </w:trPr>
        <w:tc>
          <w:tcPr>
            <w:tcW w:w="567" w:type="dxa"/>
            <w:tcBorders>
              <w:top w:val="single" w:sz="18" w:space="0" w:color="08445E" w:themeColor="accent2"/>
              <w:left w:val="nil"/>
              <w:bottom w:val="single" w:sz="18" w:space="0" w:color="08445E" w:themeColor="accent2"/>
              <w:right w:val="nil"/>
            </w:tcBorders>
            <w:shd w:val="clear" w:color="auto" w:fill="E9E9EA"/>
            <w:tcMar>
              <w:top w:w="72" w:type="dxa"/>
              <w:left w:w="144" w:type="dxa"/>
              <w:bottom w:w="72" w:type="dxa"/>
              <w:right w:w="144" w:type="dxa"/>
            </w:tcMar>
            <w:vAlign w:val="center"/>
          </w:tcPr>
          <w:p w14:paraId="0BEF141E" w14:textId="77777777" w:rsidR="006B1D34" w:rsidRPr="00F72A73" w:rsidRDefault="006B1D34" w:rsidP="006B1D34">
            <w:pPr>
              <w:pStyle w:val="TableTitleInTable"/>
            </w:pPr>
          </w:p>
        </w:tc>
        <w:tc>
          <w:tcPr>
            <w:tcW w:w="2835" w:type="dxa"/>
            <w:tcBorders>
              <w:top w:val="single" w:sz="18" w:space="0" w:color="08445E" w:themeColor="accent2"/>
              <w:left w:val="nil"/>
              <w:bottom w:val="single" w:sz="18" w:space="0" w:color="08445E" w:themeColor="accent2"/>
              <w:right w:val="nil"/>
            </w:tcBorders>
            <w:shd w:val="clear" w:color="auto" w:fill="E9E9EA"/>
            <w:tcMar>
              <w:top w:w="72" w:type="dxa"/>
              <w:left w:w="144" w:type="dxa"/>
              <w:bottom w:w="72" w:type="dxa"/>
              <w:right w:w="144" w:type="dxa"/>
            </w:tcMar>
          </w:tcPr>
          <w:p w14:paraId="6DE36E34" w14:textId="18FD196A" w:rsidR="006B1D34" w:rsidRPr="00CD0701" w:rsidRDefault="00EA1CEC" w:rsidP="006B1D34">
            <w:pPr>
              <w:pStyle w:val="TableTitleInTable"/>
              <w:jc w:val="center"/>
              <w:rPr>
                <w:color w:val="FF5000" w:themeColor="accent6"/>
              </w:rPr>
            </w:pPr>
            <w:r>
              <w:rPr>
                <w:color w:val="FF5000" w:themeColor="accent6"/>
              </w:rPr>
              <w:t xml:space="preserve">Local </w:t>
            </w:r>
            <w:r w:rsidR="006B1D34">
              <w:rPr>
                <w:color w:val="FF5000" w:themeColor="accent6"/>
              </w:rPr>
              <w:t>Economic</w:t>
            </w:r>
            <w:r w:rsidR="006B1D34" w:rsidRPr="00CD0701">
              <w:rPr>
                <w:color w:val="FF5000" w:themeColor="accent6"/>
              </w:rPr>
              <w:t xml:space="preserve"> Role</w:t>
            </w:r>
          </w:p>
        </w:tc>
        <w:tc>
          <w:tcPr>
            <w:tcW w:w="1701" w:type="dxa"/>
            <w:tcBorders>
              <w:top w:val="single" w:sz="18" w:space="0" w:color="08445E" w:themeColor="accent2"/>
              <w:left w:val="nil"/>
              <w:bottom w:val="single" w:sz="18" w:space="0" w:color="08445E" w:themeColor="accent2"/>
              <w:right w:val="nil"/>
            </w:tcBorders>
            <w:shd w:val="clear" w:color="auto" w:fill="E9E9EA"/>
          </w:tcPr>
          <w:p w14:paraId="45625840" w14:textId="644E94C8" w:rsidR="006B1D34" w:rsidRDefault="006B1D34" w:rsidP="006B1D34">
            <w:pPr>
              <w:pStyle w:val="TableTitleInTable"/>
              <w:jc w:val="center"/>
              <w:rPr>
                <w:color w:val="FF5000" w:themeColor="accent6"/>
              </w:rPr>
            </w:pPr>
            <w:r w:rsidRPr="00CD0701">
              <w:rPr>
                <w:color w:val="FF5000" w:themeColor="accent6"/>
              </w:rPr>
              <w:t>Contribution to Purpose</w:t>
            </w:r>
          </w:p>
        </w:tc>
        <w:tc>
          <w:tcPr>
            <w:tcW w:w="3600" w:type="dxa"/>
            <w:tcBorders>
              <w:top w:val="single" w:sz="18" w:space="0" w:color="08445E" w:themeColor="accent2"/>
              <w:left w:val="nil"/>
              <w:bottom w:val="single" w:sz="18" w:space="0" w:color="08445E" w:themeColor="accent2"/>
              <w:right w:val="nil"/>
            </w:tcBorders>
            <w:shd w:val="clear" w:color="auto" w:fill="E9E9EA"/>
          </w:tcPr>
          <w:p w14:paraId="52DDF0E3" w14:textId="6E778B51" w:rsidR="006B1D34" w:rsidRPr="00CD0701" w:rsidRDefault="009D3D92" w:rsidP="006B1D34">
            <w:pPr>
              <w:pStyle w:val="TableTitleInTable"/>
              <w:jc w:val="center"/>
              <w:rPr>
                <w:color w:val="FF5000" w:themeColor="accent6"/>
              </w:rPr>
            </w:pPr>
            <w:r>
              <w:rPr>
                <w:color w:val="FF5000" w:themeColor="accent6"/>
              </w:rPr>
              <w:t>Focal Points</w:t>
            </w:r>
            <w:r w:rsidR="006B1D34">
              <w:rPr>
                <w:color w:val="FF5000" w:themeColor="accent6"/>
              </w:rPr>
              <w:t xml:space="preserve"> for </w:t>
            </w:r>
            <w:r w:rsidR="006B1D34" w:rsidRPr="00CD0701">
              <w:rPr>
                <w:color w:val="FF5000" w:themeColor="accent6"/>
              </w:rPr>
              <w:t>Intervention</w:t>
            </w:r>
          </w:p>
        </w:tc>
      </w:tr>
      <w:tr w:rsidR="006B1D34" w:rsidRPr="00F72A73" w14:paraId="356CF2C6" w14:textId="51E5D710" w:rsidTr="008A5D1D">
        <w:trPr>
          <w:cantSplit/>
          <w:trHeight w:val="1052"/>
        </w:trPr>
        <w:tc>
          <w:tcPr>
            <w:tcW w:w="567" w:type="dxa"/>
            <w:tcBorders>
              <w:top w:val="single" w:sz="18" w:space="0" w:color="08445E" w:themeColor="accent2"/>
              <w:left w:val="nil"/>
              <w:bottom w:val="single" w:sz="8" w:space="0" w:color="FF5000" w:themeColor="accent6"/>
              <w:right w:val="nil"/>
            </w:tcBorders>
            <w:shd w:val="clear" w:color="auto" w:fill="E9E9EA"/>
            <w:tcMar>
              <w:top w:w="72" w:type="dxa"/>
              <w:left w:w="144" w:type="dxa"/>
              <w:bottom w:w="72" w:type="dxa"/>
              <w:right w:w="144" w:type="dxa"/>
            </w:tcMar>
            <w:textDirection w:val="btLr"/>
            <w:vAlign w:val="center"/>
          </w:tcPr>
          <w:p w14:paraId="28E0DF48" w14:textId="5D6C0983" w:rsidR="006B1D34" w:rsidRPr="00047532" w:rsidRDefault="006B1D34" w:rsidP="006B1D34">
            <w:pPr>
              <w:pStyle w:val="TableTitleInTable"/>
              <w:ind w:right="113"/>
              <w:jc w:val="center"/>
              <w:rPr>
                <w:rFonts w:ascii="Source Sans Pro" w:eastAsia="Yu Gothic UI" w:hAnsi="Source Sans Pro"/>
                <w:b/>
                <w:bCs/>
                <w:color w:val="052D3F" w:themeColor="accent1"/>
                <w:sz w:val="18"/>
                <w:szCs w:val="44"/>
                <w:lang w:val="en-US"/>
              </w:rPr>
            </w:pPr>
            <w:r w:rsidRPr="00047532">
              <w:rPr>
                <w:rFonts w:ascii="Source Sans Pro" w:eastAsia="Yu Gothic UI" w:hAnsi="Source Sans Pro"/>
                <w:b/>
                <w:bCs/>
                <w:color w:val="052D3F" w:themeColor="accent1"/>
                <w:sz w:val="18"/>
                <w:szCs w:val="44"/>
                <w:lang w:val="en-US"/>
              </w:rPr>
              <w:t>Royal Victoria</w:t>
            </w:r>
          </w:p>
        </w:tc>
        <w:tc>
          <w:tcPr>
            <w:tcW w:w="2835" w:type="dxa"/>
            <w:tcBorders>
              <w:top w:val="single" w:sz="18" w:space="0" w:color="08445E" w:themeColor="accent2"/>
              <w:left w:val="nil"/>
              <w:bottom w:val="single" w:sz="8" w:space="0" w:color="FF5000" w:themeColor="accent6"/>
              <w:right w:val="nil"/>
            </w:tcBorders>
            <w:shd w:val="clear" w:color="auto" w:fill="E9E9EA"/>
            <w:tcMar>
              <w:top w:w="72" w:type="dxa"/>
              <w:left w:w="144" w:type="dxa"/>
              <w:bottom w:w="72" w:type="dxa"/>
              <w:right w:w="144" w:type="dxa"/>
            </w:tcMar>
            <w:vAlign w:val="center"/>
          </w:tcPr>
          <w:p w14:paraId="55E29E4D" w14:textId="457117C2" w:rsidR="006B1D34" w:rsidRPr="008A5D1D" w:rsidRDefault="006B1D34" w:rsidP="006B1D34">
            <w:pPr>
              <w:pStyle w:val="TableTitleInTable"/>
              <w:ind w:left="0"/>
              <w:rPr>
                <w:rFonts w:ascii="Source Sans Pro" w:eastAsia="Yu Gothic UI" w:hAnsi="Source Sans Pro"/>
                <w:bCs/>
                <w:color w:val="052D3F" w:themeColor="accent1"/>
                <w:sz w:val="16"/>
                <w:szCs w:val="17"/>
                <w:lang w:val="en-US"/>
              </w:rPr>
            </w:pPr>
            <w:r w:rsidRPr="008A5D1D">
              <w:rPr>
                <w:rFonts w:ascii="Source Sans Pro" w:hAnsi="Source Sans Pro"/>
                <w:color w:val="052D3F" w:themeColor="accent1"/>
                <w:sz w:val="16"/>
                <w:szCs w:val="17"/>
              </w:rPr>
              <w:t xml:space="preserve"> ‘</w:t>
            </w:r>
            <w:r w:rsidR="002D5EBE">
              <w:rPr>
                <w:rFonts w:ascii="Source Sans Pro" w:hAnsi="Source Sans Pro"/>
                <w:color w:val="052D3F" w:themeColor="accent1"/>
                <w:sz w:val="16"/>
                <w:szCs w:val="17"/>
              </w:rPr>
              <w:t>G</w:t>
            </w:r>
            <w:r w:rsidRPr="008A5D1D">
              <w:rPr>
                <w:rFonts w:ascii="Source Sans Pro" w:hAnsi="Source Sans Pro"/>
                <w:color w:val="052D3F" w:themeColor="accent1"/>
                <w:sz w:val="16"/>
                <w:szCs w:val="17"/>
              </w:rPr>
              <w:t>ateway’ and ‘demonstrator’ function</w:t>
            </w:r>
            <w:r w:rsidR="002D5EBE">
              <w:rPr>
                <w:rFonts w:ascii="Source Sans Pro" w:hAnsi="Source Sans Pro"/>
                <w:color w:val="052D3F" w:themeColor="accent1"/>
                <w:sz w:val="16"/>
                <w:szCs w:val="17"/>
              </w:rPr>
              <w:t>. A</w:t>
            </w:r>
            <w:r w:rsidRPr="008A5D1D">
              <w:rPr>
                <w:rFonts w:ascii="Source Sans Pro" w:hAnsi="Source Sans Pro"/>
                <w:color w:val="052D3F" w:themeColor="accent1"/>
                <w:sz w:val="16"/>
                <w:szCs w:val="17"/>
              </w:rPr>
              <w:t xml:space="preserve"> place with the flexibility to accommodate new ideas and thinking, feeding back to London. A focal point for visitor and amenity offer (Excel, links to North Greenwich and new interpretation and cultural consumption).</w:t>
            </w:r>
          </w:p>
        </w:tc>
        <w:tc>
          <w:tcPr>
            <w:tcW w:w="1701" w:type="dxa"/>
            <w:tcBorders>
              <w:top w:val="single" w:sz="18" w:space="0" w:color="08445E" w:themeColor="accent2"/>
              <w:left w:val="nil"/>
              <w:bottom w:val="single" w:sz="8" w:space="0" w:color="FF5000" w:themeColor="accent6"/>
              <w:right w:val="nil"/>
            </w:tcBorders>
            <w:shd w:val="clear" w:color="auto" w:fill="E9E9EA"/>
            <w:vAlign w:val="center"/>
          </w:tcPr>
          <w:p w14:paraId="174B8386" w14:textId="2544CB7A" w:rsidR="006B1D34" w:rsidRPr="008A5D1D" w:rsidRDefault="006B1D34" w:rsidP="006B1D34">
            <w:pPr>
              <w:pStyle w:val="TableBullet"/>
              <w:numPr>
                <w:ilvl w:val="0"/>
                <w:numId w:val="0"/>
              </w:numPr>
              <w:ind w:left="85"/>
              <w:rPr>
                <w:rFonts w:ascii="Source Sans Pro" w:hAnsi="Source Sans Pro"/>
                <w:color w:val="052D3F" w:themeColor="accent1"/>
                <w:sz w:val="16"/>
                <w:szCs w:val="17"/>
              </w:rPr>
            </w:pPr>
            <w:r w:rsidRPr="008A5D1D">
              <w:rPr>
                <w:rFonts w:ascii="Source Sans Pro" w:hAnsi="Source Sans Pro"/>
                <w:color w:val="052D3F" w:themeColor="accent1"/>
                <w:sz w:val="16"/>
              </w:rPr>
              <w:t xml:space="preserve">Focal point and stimulus for activity; </w:t>
            </w:r>
            <w:r w:rsidR="008E697D">
              <w:rPr>
                <w:rFonts w:ascii="Source Sans Pro" w:hAnsi="Source Sans Pro"/>
                <w:color w:val="052D3F" w:themeColor="accent1"/>
                <w:sz w:val="16"/>
              </w:rPr>
              <w:t>hub for green enterprise and social innovation; l</w:t>
            </w:r>
            <w:r w:rsidRPr="008A5D1D">
              <w:rPr>
                <w:rFonts w:ascii="Source Sans Pro" w:hAnsi="Source Sans Pro"/>
                <w:color w:val="052D3F" w:themeColor="accent1"/>
                <w:sz w:val="16"/>
              </w:rPr>
              <w:t xml:space="preserve">ifestyle/ ‘leisure’ economy; </w:t>
            </w:r>
            <w:r w:rsidR="002D5EBE">
              <w:rPr>
                <w:rFonts w:ascii="Source Sans Pro" w:hAnsi="Source Sans Pro"/>
                <w:color w:val="052D3F" w:themeColor="accent1"/>
                <w:sz w:val="16"/>
              </w:rPr>
              <w:t>p</w:t>
            </w:r>
            <w:r w:rsidRPr="008A5D1D">
              <w:rPr>
                <w:rFonts w:ascii="Source Sans Pro" w:hAnsi="Source Sans Pro"/>
                <w:color w:val="052D3F" w:themeColor="accent1"/>
                <w:sz w:val="16"/>
              </w:rPr>
              <w:t>roof of new economic models</w:t>
            </w:r>
          </w:p>
        </w:tc>
        <w:tc>
          <w:tcPr>
            <w:tcW w:w="3600" w:type="dxa"/>
            <w:tcBorders>
              <w:top w:val="single" w:sz="18" w:space="0" w:color="08445E" w:themeColor="accent2"/>
              <w:left w:val="nil"/>
              <w:bottom w:val="single" w:sz="8" w:space="0" w:color="FF5000" w:themeColor="accent6"/>
              <w:right w:val="nil"/>
            </w:tcBorders>
            <w:shd w:val="clear" w:color="auto" w:fill="E9E9EA"/>
            <w:vAlign w:val="center"/>
          </w:tcPr>
          <w:p w14:paraId="56C80096" w14:textId="5E62CCA4" w:rsidR="00D74337" w:rsidRDefault="00D74337" w:rsidP="00A13361">
            <w:pPr>
              <w:pStyle w:val="TableBullet"/>
              <w:ind w:left="198" w:hanging="170"/>
              <w:rPr>
                <w:rFonts w:ascii="Source Sans Pro" w:hAnsi="Source Sans Pro"/>
                <w:color w:val="052D3F" w:themeColor="accent1"/>
                <w:sz w:val="16"/>
                <w:szCs w:val="19"/>
              </w:rPr>
            </w:pPr>
            <w:r>
              <w:rPr>
                <w:rFonts w:ascii="Source Sans Pro" w:hAnsi="Source Sans Pro"/>
                <w:color w:val="052D3F" w:themeColor="accent1"/>
                <w:sz w:val="16"/>
                <w:szCs w:val="19"/>
              </w:rPr>
              <w:t>Initial testing / piloting of workspace strategy</w:t>
            </w:r>
          </w:p>
          <w:p w14:paraId="60C74390" w14:textId="1A06EEE3" w:rsidR="006B1D34" w:rsidRPr="00291AD3" w:rsidRDefault="00D74337" w:rsidP="00A13361">
            <w:pPr>
              <w:pStyle w:val="TableBullet"/>
              <w:ind w:left="198" w:hanging="170"/>
              <w:rPr>
                <w:rFonts w:ascii="Source Sans Pro" w:hAnsi="Source Sans Pro"/>
                <w:color w:val="052D3F" w:themeColor="accent1"/>
                <w:sz w:val="16"/>
                <w:szCs w:val="19"/>
              </w:rPr>
            </w:pPr>
            <w:r>
              <w:rPr>
                <w:rFonts w:ascii="Source Sans Pro" w:hAnsi="Source Sans Pro"/>
                <w:color w:val="052D3F" w:themeColor="accent1"/>
                <w:sz w:val="16"/>
                <w:szCs w:val="19"/>
              </w:rPr>
              <w:t>Prioritising f</w:t>
            </w:r>
            <w:r w:rsidR="006B1D34" w:rsidRPr="00291AD3">
              <w:rPr>
                <w:rFonts w:ascii="Source Sans Pro" w:hAnsi="Source Sans Pro"/>
                <w:color w:val="052D3F" w:themeColor="accent1"/>
                <w:sz w:val="16"/>
                <w:szCs w:val="19"/>
              </w:rPr>
              <w:t>uture plan</w:t>
            </w:r>
            <w:r w:rsidR="00B75844">
              <w:rPr>
                <w:rFonts w:ascii="Source Sans Pro" w:hAnsi="Source Sans Pro"/>
                <w:color w:val="052D3F" w:themeColor="accent1"/>
                <w:sz w:val="16"/>
                <w:szCs w:val="19"/>
              </w:rPr>
              <w:t>s</w:t>
            </w:r>
            <w:r w:rsidR="006B1D34" w:rsidRPr="00291AD3">
              <w:rPr>
                <w:rFonts w:ascii="Source Sans Pro" w:hAnsi="Source Sans Pro"/>
                <w:color w:val="052D3F" w:themeColor="accent1"/>
                <w:sz w:val="16"/>
                <w:szCs w:val="19"/>
              </w:rPr>
              <w:t xml:space="preserve"> for the Crystal (</w:t>
            </w:r>
            <w:r>
              <w:rPr>
                <w:rFonts w:ascii="Source Sans Pro" w:hAnsi="Source Sans Pro"/>
                <w:color w:val="052D3F" w:themeColor="accent1"/>
                <w:sz w:val="16"/>
                <w:szCs w:val="19"/>
              </w:rPr>
              <w:t>potential hub</w:t>
            </w:r>
            <w:r w:rsidR="00FD28FA">
              <w:rPr>
                <w:rFonts w:ascii="Source Sans Pro" w:hAnsi="Source Sans Pro"/>
                <w:color w:val="052D3F" w:themeColor="accent1"/>
                <w:sz w:val="16"/>
                <w:szCs w:val="19"/>
              </w:rPr>
              <w:t xml:space="preserve"> for green enterprise and s</w:t>
            </w:r>
            <w:r w:rsidR="006B1D34" w:rsidRPr="00291AD3">
              <w:rPr>
                <w:rFonts w:ascii="Source Sans Pro" w:hAnsi="Source Sans Pro"/>
                <w:color w:val="052D3F" w:themeColor="accent1"/>
                <w:sz w:val="16"/>
                <w:szCs w:val="19"/>
              </w:rPr>
              <w:t xml:space="preserve">ocial </w:t>
            </w:r>
            <w:r w:rsidR="00FD28FA">
              <w:rPr>
                <w:rFonts w:ascii="Source Sans Pro" w:hAnsi="Source Sans Pro"/>
                <w:color w:val="052D3F" w:themeColor="accent1"/>
                <w:sz w:val="16"/>
                <w:szCs w:val="19"/>
              </w:rPr>
              <w:t>i</w:t>
            </w:r>
            <w:r w:rsidR="006B1D34" w:rsidRPr="00291AD3">
              <w:rPr>
                <w:rFonts w:ascii="Source Sans Pro" w:hAnsi="Source Sans Pro"/>
                <w:color w:val="052D3F" w:themeColor="accent1"/>
                <w:sz w:val="16"/>
                <w:szCs w:val="19"/>
              </w:rPr>
              <w:t>nnovation</w:t>
            </w:r>
            <w:r>
              <w:rPr>
                <w:rFonts w:ascii="Source Sans Pro" w:hAnsi="Source Sans Pro"/>
                <w:color w:val="052D3F" w:themeColor="accent1"/>
                <w:sz w:val="16"/>
                <w:szCs w:val="19"/>
              </w:rPr>
              <w:t>)</w:t>
            </w:r>
            <w:r w:rsidR="006B1D34" w:rsidRPr="00291AD3">
              <w:rPr>
                <w:rFonts w:ascii="Source Sans Pro" w:hAnsi="Source Sans Pro"/>
                <w:color w:val="052D3F" w:themeColor="accent1"/>
                <w:sz w:val="16"/>
                <w:szCs w:val="19"/>
              </w:rPr>
              <w:t xml:space="preserve"> </w:t>
            </w:r>
          </w:p>
          <w:p w14:paraId="5777CEBE" w14:textId="21E0BA93" w:rsidR="006B1D34" w:rsidRPr="00291AD3" w:rsidRDefault="006B1D34" w:rsidP="00A13361">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Identif</w:t>
            </w:r>
            <w:r w:rsidR="00D74337">
              <w:rPr>
                <w:rFonts w:ascii="Source Sans Pro" w:hAnsi="Source Sans Pro"/>
                <w:color w:val="052D3F" w:themeColor="accent1"/>
                <w:sz w:val="16"/>
                <w:szCs w:val="19"/>
              </w:rPr>
              <w:t>ying</w:t>
            </w:r>
            <w:r w:rsidRPr="00291AD3">
              <w:rPr>
                <w:rFonts w:ascii="Source Sans Pro" w:hAnsi="Source Sans Pro"/>
                <w:color w:val="052D3F" w:themeColor="accent1"/>
                <w:sz w:val="16"/>
                <w:szCs w:val="19"/>
              </w:rPr>
              <w:t xml:space="preserve"> </w:t>
            </w:r>
            <w:r w:rsidR="00D74337">
              <w:rPr>
                <w:rFonts w:ascii="Source Sans Pro" w:hAnsi="Source Sans Pro"/>
                <w:color w:val="052D3F" w:themeColor="accent1"/>
                <w:sz w:val="16"/>
                <w:szCs w:val="19"/>
              </w:rPr>
              <w:t>pipeline</w:t>
            </w:r>
            <w:r w:rsidRPr="00291AD3">
              <w:rPr>
                <w:rFonts w:ascii="Source Sans Pro" w:hAnsi="Source Sans Pro"/>
                <w:color w:val="052D3F" w:themeColor="accent1"/>
                <w:sz w:val="16"/>
                <w:szCs w:val="19"/>
              </w:rPr>
              <w:t xml:space="preserve"> opportunities for business spaces </w:t>
            </w:r>
            <w:r w:rsidR="00D74337">
              <w:rPr>
                <w:rFonts w:ascii="Source Sans Pro" w:hAnsi="Source Sans Pro"/>
                <w:color w:val="052D3F" w:themeColor="accent1"/>
                <w:sz w:val="16"/>
                <w:szCs w:val="19"/>
              </w:rPr>
              <w:t xml:space="preserve">to encourage </w:t>
            </w:r>
            <w:r w:rsidRPr="00291AD3">
              <w:rPr>
                <w:rFonts w:ascii="Source Sans Pro" w:hAnsi="Source Sans Pro"/>
                <w:color w:val="052D3F" w:themeColor="accent1"/>
                <w:sz w:val="16"/>
                <w:szCs w:val="19"/>
              </w:rPr>
              <w:t>clustering</w:t>
            </w:r>
          </w:p>
          <w:p w14:paraId="2A432A4A" w14:textId="33303463" w:rsidR="006B1D34" w:rsidRPr="00291AD3" w:rsidRDefault="006B1D34" w:rsidP="00A13361">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Hous</w:t>
            </w:r>
            <w:r w:rsidR="00D74337">
              <w:rPr>
                <w:rFonts w:ascii="Source Sans Pro" w:hAnsi="Source Sans Pro"/>
                <w:color w:val="052D3F" w:themeColor="accent1"/>
                <w:sz w:val="16"/>
                <w:szCs w:val="19"/>
              </w:rPr>
              <w:t>ing</w:t>
            </w:r>
            <w:r w:rsidRPr="00291AD3">
              <w:rPr>
                <w:rFonts w:ascii="Source Sans Pro" w:hAnsi="Source Sans Pro"/>
                <w:color w:val="052D3F" w:themeColor="accent1"/>
                <w:sz w:val="16"/>
                <w:szCs w:val="19"/>
              </w:rPr>
              <w:t xml:space="preserve"> cohort of new businesses receiving growth support  </w:t>
            </w:r>
          </w:p>
          <w:p w14:paraId="79786CC8" w14:textId="6DBA157F" w:rsidR="006B1D34" w:rsidRPr="00291AD3" w:rsidRDefault="006B1D34" w:rsidP="00A13361">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Enhanced, diversified amenity and visitor offer</w:t>
            </w:r>
          </w:p>
        </w:tc>
      </w:tr>
      <w:tr w:rsidR="006B1D34" w:rsidRPr="00F72A73" w14:paraId="31170D9D" w14:textId="662249EE" w:rsidTr="008A5D1D">
        <w:trPr>
          <w:cantSplit/>
          <w:trHeight w:val="1052"/>
        </w:trPr>
        <w:tc>
          <w:tcPr>
            <w:tcW w:w="567"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textDirection w:val="btLr"/>
            <w:vAlign w:val="center"/>
          </w:tcPr>
          <w:p w14:paraId="361086F3" w14:textId="561870D5" w:rsidR="006B1D34" w:rsidRPr="00047532" w:rsidRDefault="006B1D34" w:rsidP="006B1D34">
            <w:pPr>
              <w:pStyle w:val="TableTitleInTable"/>
              <w:ind w:right="113"/>
              <w:jc w:val="center"/>
              <w:rPr>
                <w:rFonts w:ascii="Source Sans Pro" w:eastAsia="Yu Gothic UI" w:hAnsi="Source Sans Pro"/>
                <w:b/>
                <w:bCs/>
                <w:color w:val="052D3F" w:themeColor="accent1"/>
                <w:sz w:val="18"/>
                <w:szCs w:val="44"/>
                <w:lang w:val="en-US"/>
              </w:rPr>
            </w:pPr>
            <w:r w:rsidRPr="00047532">
              <w:rPr>
                <w:rFonts w:ascii="Source Sans Pro" w:eastAsia="Yu Gothic UI" w:hAnsi="Source Sans Pro"/>
                <w:b/>
                <w:bCs/>
                <w:color w:val="052D3F" w:themeColor="accent1"/>
                <w:sz w:val="18"/>
                <w:szCs w:val="44"/>
                <w:lang w:val="en-US"/>
              </w:rPr>
              <w:t xml:space="preserve">Connaught </w:t>
            </w:r>
            <w:r w:rsidR="00047532" w:rsidRPr="00047532">
              <w:rPr>
                <w:rFonts w:ascii="Source Sans Pro" w:eastAsia="Yu Gothic UI" w:hAnsi="Source Sans Pro"/>
                <w:b/>
                <w:bCs/>
                <w:color w:val="052D3F" w:themeColor="accent1"/>
                <w:sz w:val="18"/>
                <w:szCs w:val="44"/>
                <w:lang w:val="en-US"/>
              </w:rPr>
              <w:t xml:space="preserve"> Area</w:t>
            </w:r>
          </w:p>
        </w:tc>
        <w:tc>
          <w:tcPr>
            <w:tcW w:w="2835"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3315EBD3" w14:textId="6481BB80" w:rsidR="006B1D34" w:rsidRPr="008A5D1D" w:rsidRDefault="006B1D34" w:rsidP="006B1D34">
            <w:pPr>
              <w:pStyle w:val="TableTitleInTable"/>
              <w:ind w:left="0"/>
              <w:rPr>
                <w:rFonts w:ascii="Source Sans Pro" w:eastAsia="Yu Gothic UI" w:hAnsi="Source Sans Pro"/>
                <w:bCs/>
                <w:color w:val="052D3F" w:themeColor="accent1"/>
                <w:sz w:val="16"/>
                <w:szCs w:val="17"/>
                <w:lang w:val="en-US"/>
              </w:rPr>
            </w:pPr>
            <w:r w:rsidRPr="008A5D1D">
              <w:rPr>
                <w:rFonts w:ascii="Source Sans Pro" w:hAnsi="Source Sans Pro"/>
                <w:color w:val="052D3F" w:themeColor="accent1"/>
                <w:sz w:val="16"/>
                <w:szCs w:val="17"/>
              </w:rPr>
              <w:t>Capitalising upon arrival of Crossrail and growing excel visitor numbers, alongside links to Newham populations. A focal point for the meeting of commercial activity, visitor economy and Newham’s international demographic</w:t>
            </w:r>
            <w:r w:rsidR="00562581">
              <w:rPr>
                <w:rFonts w:ascii="Source Sans Pro" w:hAnsi="Source Sans Pro"/>
                <w:color w:val="052D3F" w:themeColor="accent1"/>
                <w:sz w:val="16"/>
                <w:szCs w:val="17"/>
              </w:rPr>
              <w:t>.</w:t>
            </w:r>
          </w:p>
        </w:tc>
        <w:tc>
          <w:tcPr>
            <w:tcW w:w="1701" w:type="dxa"/>
            <w:tcBorders>
              <w:top w:val="single" w:sz="8" w:space="0" w:color="FF5000" w:themeColor="accent6"/>
              <w:left w:val="nil"/>
              <w:bottom w:val="single" w:sz="8" w:space="0" w:color="FF5000" w:themeColor="accent6"/>
              <w:right w:val="nil"/>
            </w:tcBorders>
            <w:vAlign w:val="center"/>
          </w:tcPr>
          <w:p w14:paraId="4E485AA0" w14:textId="1CECAD09" w:rsidR="006B1D34" w:rsidRPr="008A5D1D" w:rsidRDefault="006B1D34" w:rsidP="006B1D34">
            <w:pPr>
              <w:pStyle w:val="TableBullet"/>
              <w:numPr>
                <w:ilvl w:val="0"/>
                <w:numId w:val="0"/>
              </w:numPr>
              <w:ind w:left="85"/>
              <w:rPr>
                <w:rFonts w:ascii="Source Sans Pro" w:hAnsi="Source Sans Pro"/>
                <w:color w:val="052D3F" w:themeColor="accent1"/>
                <w:sz w:val="16"/>
                <w:szCs w:val="17"/>
              </w:rPr>
            </w:pPr>
            <w:r w:rsidRPr="008A5D1D">
              <w:rPr>
                <w:rFonts w:ascii="Source Sans Pro" w:eastAsiaTheme="minorEastAsia" w:hAnsi="Source Sans Pro" w:cstheme="minorBidi"/>
                <w:color w:val="052D3F" w:themeColor="accent1"/>
                <w:sz w:val="16"/>
              </w:rPr>
              <w:t>Supporting the Royals Dock’s function in serving the leisure needs of local residents along with the wider business and leisure visitor economy.</w:t>
            </w:r>
          </w:p>
        </w:tc>
        <w:tc>
          <w:tcPr>
            <w:tcW w:w="3600" w:type="dxa"/>
            <w:tcBorders>
              <w:top w:val="single" w:sz="8" w:space="0" w:color="FF5000" w:themeColor="accent6"/>
              <w:left w:val="nil"/>
              <w:bottom w:val="single" w:sz="8" w:space="0" w:color="FF5000" w:themeColor="accent6"/>
              <w:right w:val="nil"/>
            </w:tcBorders>
            <w:vAlign w:val="center"/>
          </w:tcPr>
          <w:p w14:paraId="12580CD4" w14:textId="1196B062" w:rsidR="006B1D34" w:rsidRPr="00291AD3" w:rsidRDefault="00B12C38" w:rsidP="00A13361">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 xml:space="preserve">Potential </w:t>
            </w:r>
            <w:r w:rsidR="00065803">
              <w:rPr>
                <w:rFonts w:ascii="Source Sans Pro" w:hAnsi="Source Sans Pro"/>
                <w:color w:val="052D3F" w:themeColor="accent1"/>
                <w:sz w:val="16"/>
                <w:szCs w:val="19"/>
              </w:rPr>
              <w:t xml:space="preserve">location for an </w:t>
            </w:r>
            <w:r w:rsidRPr="00291AD3">
              <w:rPr>
                <w:rFonts w:ascii="Source Sans Pro" w:hAnsi="Source Sans Pro"/>
                <w:color w:val="052D3F" w:themeColor="accent1"/>
                <w:sz w:val="16"/>
                <w:szCs w:val="19"/>
              </w:rPr>
              <w:t>Academy for Hospitality</w:t>
            </w:r>
          </w:p>
          <w:p w14:paraId="56F0D8C3" w14:textId="77777777" w:rsidR="006B1D34" w:rsidRPr="00291AD3" w:rsidRDefault="00B12C38" w:rsidP="00A13361">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Interim/temporary retail spaces to test new ideas</w:t>
            </w:r>
          </w:p>
          <w:p w14:paraId="4C7B1956" w14:textId="74964F94" w:rsidR="006B1D34" w:rsidRPr="00291AD3" w:rsidRDefault="00B12C38" w:rsidP="00065803">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Physical connections to communities to the north</w:t>
            </w:r>
            <w:r w:rsidR="00065803">
              <w:rPr>
                <w:rFonts w:ascii="Source Sans Pro" w:hAnsi="Source Sans Pro"/>
                <w:color w:val="052D3F" w:themeColor="accent1"/>
                <w:sz w:val="16"/>
                <w:szCs w:val="19"/>
              </w:rPr>
              <w:t xml:space="preserve"> and </w:t>
            </w:r>
            <w:r w:rsidRPr="00291AD3">
              <w:rPr>
                <w:rFonts w:ascii="Source Sans Pro" w:hAnsi="Source Sans Pro"/>
                <w:color w:val="052D3F" w:themeColor="accent1"/>
                <w:sz w:val="16"/>
                <w:szCs w:val="19"/>
              </w:rPr>
              <w:t>between Royal Victoria and Royal Albert Dock</w:t>
            </w:r>
          </w:p>
        </w:tc>
      </w:tr>
      <w:tr w:rsidR="006B1D34" w:rsidRPr="00F72A73" w14:paraId="2B7A352F" w14:textId="7C1A9D7E" w:rsidTr="008A5D1D">
        <w:trPr>
          <w:cantSplit/>
          <w:trHeight w:val="1052"/>
        </w:trPr>
        <w:tc>
          <w:tcPr>
            <w:tcW w:w="567" w:type="dxa"/>
            <w:tcBorders>
              <w:top w:val="single" w:sz="8" w:space="0" w:color="FF5000" w:themeColor="accent6"/>
              <w:left w:val="nil"/>
              <w:bottom w:val="single" w:sz="8" w:space="0" w:color="FF5000" w:themeColor="accent6"/>
              <w:right w:val="nil"/>
            </w:tcBorders>
            <w:shd w:val="clear" w:color="auto" w:fill="E9E9EA"/>
            <w:tcMar>
              <w:top w:w="72" w:type="dxa"/>
              <w:left w:w="144" w:type="dxa"/>
              <w:bottom w:w="72" w:type="dxa"/>
              <w:right w:w="144" w:type="dxa"/>
            </w:tcMar>
            <w:textDirection w:val="btLr"/>
            <w:vAlign w:val="center"/>
          </w:tcPr>
          <w:p w14:paraId="21979888" w14:textId="0743494E" w:rsidR="006B1D34" w:rsidRPr="00047532" w:rsidRDefault="006B1D34" w:rsidP="006B1D34">
            <w:pPr>
              <w:pStyle w:val="TableTitleInTable"/>
              <w:ind w:right="113"/>
              <w:jc w:val="center"/>
              <w:rPr>
                <w:rFonts w:ascii="Source Sans Pro" w:eastAsia="Yu Gothic UI" w:hAnsi="Source Sans Pro"/>
                <w:b/>
                <w:bCs/>
                <w:color w:val="052D3F" w:themeColor="accent1"/>
                <w:sz w:val="18"/>
                <w:szCs w:val="44"/>
                <w:lang w:val="en-US"/>
              </w:rPr>
            </w:pPr>
            <w:r w:rsidRPr="00047532">
              <w:rPr>
                <w:rFonts w:ascii="Source Sans Pro" w:eastAsia="Yu Gothic UI" w:hAnsi="Source Sans Pro"/>
                <w:b/>
                <w:bCs/>
                <w:color w:val="052D3F" w:themeColor="accent1"/>
                <w:sz w:val="18"/>
                <w:szCs w:val="44"/>
                <w:lang w:val="en-US"/>
              </w:rPr>
              <w:t xml:space="preserve">Royal Albert Docks </w:t>
            </w:r>
          </w:p>
        </w:tc>
        <w:tc>
          <w:tcPr>
            <w:tcW w:w="2835" w:type="dxa"/>
            <w:tcBorders>
              <w:top w:val="single" w:sz="8" w:space="0" w:color="FF5000" w:themeColor="accent6"/>
              <w:left w:val="nil"/>
              <w:bottom w:val="single" w:sz="8" w:space="0" w:color="FF5000" w:themeColor="accent6"/>
              <w:right w:val="nil"/>
            </w:tcBorders>
            <w:shd w:val="clear" w:color="auto" w:fill="E9E9EA"/>
            <w:tcMar>
              <w:top w:w="72" w:type="dxa"/>
              <w:left w:w="144" w:type="dxa"/>
              <w:bottom w:w="72" w:type="dxa"/>
              <w:right w:w="144" w:type="dxa"/>
            </w:tcMar>
            <w:vAlign w:val="center"/>
          </w:tcPr>
          <w:p w14:paraId="4FC35067" w14:textId="48C85CAD" w:rsidR="006B1D34" w:rsidRPr="008A5D1D" w:rsidRDefault="006B1D34" w:rsidP="006B1D34">
            <w:pPr>
              <w:pStyle w:val="TableTitleInTable"/>
              <w:ind w:left="0"/>
              <w:rPr>
                <w:rFonts w:ascii="Source Sans Pro" w:eastAsia="Yu Gothic UI" w:hAnsi="Source Sans Pro"/>
                <w:bCs/>
                <w:color w:val="052D3F" w:themeColor="accent1"/>
                <w:sz w:val="16"/>
                <w:szCs w:val="17"/>
                <w:lang w:val="en-US"/>
              </w:rPr>
            </w:pPr>
            <w:r w:rsidRPr="008A5D1D">
              <w:rPr>
                <w:rFonts w:ascii="Source Sans Pro" w:hAnsi="Source Sans Pro"/>
                <w:color w:val="052D3F" w:themeColor="accent1"/>
                <w:sz w:val="16"/>
                <w:szCs w:val="17"/>
              </w:rPr>
              <w:t>The first test of Royal Dock</w:t>
            </w:r>
            <w:r w:rsidR="00CD3730" w:rsidRPr="008A5D1D">
              <w:rPr>
                <w:rFonts w:ascii="Source Sans Pro" w:hAnsi="Source Sans Pro"/>
                <w:color w:val="052D3F" w:themeColor="accent1"/>
                <w:sz w:val="16"/>
                <w:szCs w:val="17"/>
              </w:rPr>
              <w:t>’</w:t>
            </w:r>
            <w:r w:rsidRPr="008A5D1D">
              <w:rPr>
                <w:rFonts w:ascii="Source Sans Pro" w:hAnsi="Source Sans Pro"/>
                <w:color w:val="052D3F" w:themeColor="accent1"/>
                <w:sz w:val="16"/>
                <w:szCs w:val="17"/>
              </w:rPr>
              <w:t xml:space="preserve">s evolution as a modern business district. Internationally focussed business and enterprise, anchored by global connectivity and East London’s diverse workforce. </w:t>
            </w:r>
            <w:r w:rsidR="0076427E">
              <w:rPr>
                <w:rFonts w:ascii="Source Sans Pro" w:hAnsi="Source Sans Pro"/>
                <w:color w:val="052D3F" w:themeColor="accent1"/>
                <w:sz w:val="16"/>
                <w:szCs w:val="17"/>
              </w:rPr>
              <w:t>S</w:t>
            </w:r>
            <w:r w:rsidRPr="008A5D1D">
              <w:rPr>
                <w:rFonts w:ascii="Source Sans Pro" w:hAnsi="Source Sans Pro"/>
                <w:color w:val="052D3F" w:themeColor="accent1"/>
                <w:sz w:val="16"/>
                <w:szCs w:val="17"/>
              </w:rPr>
              <w:t xml:space="preserve">pace </w:t>
            </w:r>
            <w:r w:rsidR="00CD3730" w:rsidRPr="008A5D1D">
              <w:rPr>
                <w:rFonts w:ascii="Source Sans Pro" w:hAnsi="Source Sans Pro"/>
                <w:color w:val="052D3F" w:themeColor="accent1"/>
                <w:sz w:val="16"/>
                <w:szCs w:val="17"/>
              </w:rPr>
              <w:t xml:space="preserve">for </w:t>
            </w:r>
            <w:r w:rsidR="0076427E">
              <w:rPr>
                <w:rFonts w:ascii="Source Sans Pro" w:hAnsi="Source Sans Pro"/>
                <w:color w:val="052D3F" w:themeColor="accent1"/>
                <w:sz w:val="16"/>
                <w:szCs w:val="17"/>
              </w:rPr>
              <w:t xml:space="preserve">London and </w:t>
            </w:r>
            <w:r w:rsidRPr="008A5D1D">
              <w:rPr>
                <w:rFonts w:ascii="Source Sans Pro" w:hAnsi="Source Sans Pro"/>
                <w:color w:val="052D3F" w:themeColor="accent1"/>
                <w:sz w:val="16"/>
                <w:szCs w:val="17"/>
              </w:rPr>
              <w:t>international and SME</w:t>
            </w:r>
            <w:r w:rsidR="0076427E">
              <w:rPr>
                <w:rFonts w:ascii="Source Sans Pro" w:hAnsi="Source Sans Pro"/>
                <w:color w:val="052D3F" w:themeColor="accent1"/>
                <w:sz w:val="16"/>
                <w:szCs w:val="17"/>
              </w:rPr>
              <w:t>’s</w:t>
            </w:r>
            <w:r w:rsidRPr="008A5D1D">
              <w:rPr>
                <w:rFonts w:ascii="Source Sans Pro" w:hAnsi="Source Sans Pro"/>
                <w:color w:val="052D3F" w:themeColor="accent1"/>
                <w:sz w:val="16"/>
                <w:szCs w:val="17"/>
              </w:rPr>
              <w:t xml:space="preserve"> with global focus</w:t>
            </w:r>
            <w:r w:rsidR="0076427E">
              <w:rPr>
                <w:rFonts w:ascii="Source Sans Pro" w:hAnsi="Source Sans Pro"/>
                <w:color w:val="052D3F" w:themeColor="accent1"/>
                <w:sz w:val="16"/>
                <w:szCs w:val="17"/>
              </w:rPr>
              <w:t>.</w:t>
            </w:r>
          </w:p>
        </w:tc>
        <w:tc>
          <w:tcPr>
            <w:tcW w:w="1701" w:type="dxa"/>
            <w:tcBorders>
              <w:top w:val="single" w:sz="8" w:space="0" w:color="FF5000" w:themeColor="accent6"/>
              <w:left w:val="nil"/>
              <w:bottom w:val="single" w:sz="8" w:space="0" w:color="FF5000" w:themeColor="accent6"/>
              <w:right w:val="nil"/>
            </w:tcBorders>
            <w:shd w:val="clear" w:color="auto" w:fill="E9E9EA"/>
            <w:vAlign w:val="center"/>
          </w:tcPr>
          <w:p w14:paraId="46652288" w14:textId="31493477" w:rsidR="006B1D34" w:rsidRPr="008A5D1D" w:rsidRDefault="006B1D34" w:rsidP="006B1D34">
            <w:pPr>
              <w:pStyle w:val="TableBullet"/>
              <w:numPr>
                <w:ilvl w:val="0"/>
                <w:numId w:val="0"/>
              </w:numPr>
              <w:ind w:left="85"/>
              <w:rPr>
                <w:rFonts w:ascii="Source Sans Pro" w:hAnsi="Source Sans Pro"/>
                <w:color w:val="052D3F" w:themeColor="accent1"/>
                <w:sz w:val="16"/>
                <w:szCs w:val="17"/>
              </w:rPr>
            </w:pPr>
            <w:r w:rsidRPr="008A5D1D">
              <w:rPr>
                <w:rFonts w:ascii="Source Sans Pro" w:hAnsi="Source Sans Pro"/>
                <w:color w:val="052D3F" w:themeColor="accent1"/>
                <w:sz w:val="16"/>
              </w:rPr>
              <w:t>The most immediate opportunity to catalyse growth and investment. Hub for internationalisation and evolution of a new type of business location</w:t>
            </w:r>
            <w:r w:rsidR="00562581">
              <w:rPr>
                <w:rFonts w:ascii="Source Sans Pro" w:hAnsi="Source Sans Pro"/>
                <w:color w:val="052D3F" w:themeColor="accent1"/>
                <w:sz w:val="16"/>
              </w:rPr>
              <w:t>.</w:t>
            </w:r>
          </w:p>
        </w:tc>
        <w:tc>
          <w:tcPr>
            <w:tcW w:w="3600" w:type="dxa"/>
            <w:tcBorders>
              <w:top w:val="single" w:sz="8" w:space="0" w:color="FF5000" w:themeColor="accent6"/>
              <w:left w:val="nil"/>
              <w:bottom w:val="single" w:sz="8" w:space="0" w:color="FF5000" w:themeColor="accent6"/>
              <w:right w:val="nil"/>
            </w:tcBorders>
            <w:shd w:val="clear" w:color="auto" w:fill="E9E9EA"/>
            <w:vAlign w:val="center"/>
          </w:tcPr>
          <w:p w14:paraId="7FF4DB85" w14:textId="6865C9B6" w:rsidR="006B1D34" w:rsidRPr="00291AD3" w:rsidRDefault="00196EED" w:rsidP="00A13361">
            <w:pPr>
              <w:pStyle w:val="TableBullet"/>
              <w:ind w:left="198" w:hanging="170"/>
              <w:rPr>
                <w:rFonts w:ascii="Source Sans Pro" w:hAnsi="Source Sans Pro"/>
                <w:color w:val="052D3F" w:themeColor="accent1"/>
                <w:sz w:val="16"/>
                <w:szCs w:val="19"/>
              </w:rPr>
            </w:pPr>
            <w:r>
              <w:rPr>
                <w:rFonts w:ascii="Source Sans Pro" w:hAnsi="Source Sans Pro"/>
                <w:color w:val="052D3F" w:themeColor="accent1"/>
                <w:sz w:val="16"/>
                <w:szCs w:val="19"/>
              </w:rPr>
              <w:t>I</w:t>
            </w:r>
            <w:r w:rsidR="006B1D34" w:rsidRPr="00291AD3">
              <w:rPr>
                <w:rFonts w:ascii="Source Sans Pro" w:hAnsi="Source Sans Pro"/>
                <w:color w:val="052D3F" w:themeColor="accent1"/>
                <w:sz w:val="16"/>
                <w:szCs w:val="19"/>
              </w:rPr>
              <w:t>nward investment plan linked to FoE</w:t>
            </w:r>
            <w:r w:rsidR="004A1A71">
              <w:rPr>
                <w:rFonts w:ascii="Source Sans Pro" w:hAnsi="Source Sans Pro"/>
                <w:color w:val="052D3F" w:themeColor="accent1"/>
                <w:sz w:val="16"/>
                <w:szCs w:val="19"/>
              </w:rPr>
              <w:t xml:space="preserve"> </w:t>
            </w:r>
            <w:r w:rsidR="006B1D34" w:rsidRPr="00291AD3">
              <w:rPr>
                <w:rFonts w:ascii="Source Sans Pro" w:hAnsi="Source Sans Pro"/>
                <w:color w:val="052D3F" w:themeColor="accent1"/>
                <w:sz w:val="16"/>
                <w:szCs w:val="19"/>
              </w:rPr>
              <w:t xml:space="preserve">SMEs. </w:t>
            </w:r>
          </w:p>
          <w:p w14:paraId="6F966730" w14:textId="56E8D242" w:rsidR="006B1D34" w:rsidRPr="00291AD3" w:rsidRDefault="008E697D" w:rsidP="00A13361">
            <w:pPr>
              <w:pStyle w:val="TableBullet"/>
              <w:ind w:left="198" w:hanging="170"/>
              <w:rPr>
                <w:rFonts w:ascii="Source Sans Pro" w:hAnsi="Source Sans Pro"/>
                <w:color w:val="052D3F" w:themeColor="accent1"/>
                <w:sz w:val="16"/>
                <w:szCs w:val="19"/>
              </w:rPr>
            </w:pPr>
            <w:r>
              <w:rPr>
                <w:rFonts w:ascii="Source Sans Pro" w:hAnsi="Source Sans Pro"/>
                <w:color w:val="052D3F" w:themeColor="accent1"/>
                <w:sz w:val="16"/>
                <w:szCs w:val="19"/>
              </w:rPr>
              <w:t>L</w:t>
            </w:r>
            <w:r w:rsidR="006B1D34" w:rsidRPr="00291AD3">
              <w:rPr>
                <w:rFonts w:ascii="Source Sans Pro" w:hAnsi="Source Sans Pro"/>
                <w:color w:val="052D3F" w:themeColor="accent1"/>
                <w:sz w:val="16"/>
                <w:szCs w:val="19"/>
              </w:rPr>
              <w:t>ong-term partnerships with growth countries</w:t>
            </w:r>
          </w:p>
          <w:p w14:paraId="78018F99" w14:textId="6B5EC53D" w:rsidR="006B1D34" w:rsidRPr="00291AD3" w:rsidRDefault="006B1D34" w:rsidP="00A13361">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Enhanced knowledge exchange and links to HE</w:t>
            </w:r>
          </w:p>
          <w:p w14:paraId="6EEEE7D3" w14:textId="6C3132BB" w:rsidR="006B1D34" w:rsidRPr="00291AD3" w:rsidRDefault="000E566B" w:rsidP="00A13361">
            <w:pPr>
              <w:pStyle w:val="TableBullet"/>
              <w:ind w:left="198" w:hanging="170"/>
              <w:rPr>
                <w:rFonts w:ascii="Source Sans Pro" w:hAnsi="Source Sans Pro"/>
                <w:color w:val="052D3F" w:themeColor="accent1"/>
                <w:sz w:val="16"/>
                <w:szCs w:val="19"/>
              </w:rPr>
            </w:pPr>
            <w:r>
              <w:rPr>
                <w:rFonts w:ascii="Source Sans Pro" w:hAnsi="Source Sans Pro"/>
                <w:color w:val="052D3F" w:themeColor="accent1"/>
                <w:sz w:val="16"/>
                <w:szCs w:val="19"/>
              </w:rPr>
              <w:t>Investor</w:t>
            </w:r>
            <w:r w:rsidR="006B1D34" w:rsidRPr="00291AD3">
              <w:rPr>
                <w:rFonts w:ascii="Source Sans Pro" w:hAnsi="Source Sans Pro"/>
                <w:color w:val="052D3F" w:themeColor="accent1"/>
                <w:sz w:val="16"/>
                <w:szCs w:val="19"/>
              </w:rPr>
              <w:t xml:space="preserve"> aftercare (business practice, tax, H</w:t>
            </w:r>
            <w:r w:rsidR="003C1633" w:rsidRPr="00291AD3">
              <w:rPr>
                <w:rFonts w:ascii="Source Sans Pro" w:hAnsi="Source Sans Pro"/>
                <w:color w:val="052D3F" w:themeColor="accent1"/>
                <w:sz w:val="16"/>
                <w:szCs w:val="19"/>
              </w:rPr>
              <w:t>&amp;</w:t>
            </w:r>
            <w:r w:rsidR="006B1D34" w:rsidRPr="00291AD3">
              <w:rPr>
                <w:rFonts w:ascii="Source Sans Pro" w:hAnsi="Source Sans Pro"/>
                <w:color w:val="052D3F" w:themeColor="accent1"/>
                <w:sz w:val="16"/>
                <w:szCs w:val="19"/>
              </w:rPr>
              <w:t>S)</w:t>
            </w:r>
          </w:p>
          <w:p w14:paraId="6C2C315B" w14:textId="04B417EB" w:rsidR="006B1D34" w:rsidRPr="00291AD3" w:rsidRDefault="006B1D34" w:rsidP="00A13361">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 xml:space="preserve">Target links to diverse Newham Communities </w:t>
            </w:r>
          </w:p>
          <w:p w14:paraId="766E6458" w14:textId="77777777" w:rsidR="006B1D34" w:rsidRPr="00291AD3" w:rsidRDefault="006B1D34" w:rsidP="00A13361">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Potential hub for start-up and youth enterprise</w:t>
            </w:r>
          </w:p>
          <w:p w14:paraId="2418EA87" w14:textId="315FD945" w:rsidR="006B1D34" w:rsidRPr="00291AD3" w:rsidRDefault="006B1D34" w:rsidP="00A13361">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Early pilot location for</w:t>
            </w:r>
            <w:r w:rsidR="000E566B">
              <w:rPr>
                <w:rFonts w:ascii="Source Sans Pro" w:hAnsi="Source Sans Pro"/>
                <w:color w:val="052D3F" w:themeColor="accent1"/>
                <w:sz w:val="16"/>
                <w:szCs w:val="19"/>
              </w:rPr>
              <w:t xml:space="preserve"> reformed Wo</w:t>
            </w:r>
            <w:r w:rsidRPr="00291AD3">
              <w:rPr>
                <w:rFonts w:ascii="Source Sans Pro" w:hAnsi="Source Sans Pro"/>
                <w:color w:val="052D3F" w:themeColor="accent1"/>
                <w:sz w:val="16"/>
                <w:szCs w:val="19"/>
              </w:rPr>
              <w:t>rkspace</w:t>
            </w:r>
          </w:p>
        </w:tc>
      </w:tr>
      <w:tr w:rsidR="006B1D34" w:rsidRPr="00F72A73" w14:paraId="725CFF0D" w14:textId="40C7AB28" w:rsidTr="008A5D1D">
        <w:trPr>
          <w:cantSplit/>
          <w:trHeight w:val="1181"/>
        </w:trPr>
        <w:tc>
          <w:tcPr>
            <w:tcW w:w="567"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textDirection w:val="btLr"/>
            <w:vAlign w:val="center"/>
          </w:tcPr>
          <w:p w14:paraId="100262D6" w14:textId="71272AA8" w:rsidR="006B1D34" w:rsidRPr="00047532" w:rsidRDefault="006B1D34" w:rsidP="006B1D34">
            <w:pPr>
              <w:pStyle w:val="TableTitleInTable"/>
              <w:ind w:right="113"/>
              <w:jc w:val="center"/>
              <w:rPr>
                <w:rFonts w:ascii="Source Sans Pro" w:eastAsia="Yu Gothic UI" w:hAnsi="Source Sans Pro"/>
                <w:b/>
                <w:bCs/>
                <w:color w:val="052D3F" w:themeColor="accent1"/>
                <w:sz w:val="18"/>
                <w:szCs w:val="44"/>
                <w:lang w:val="en-US"/>
              </w:rPr>
            </w:pPr>
            <w:r w:rsidRPr="00047532">
              <w:rPr>
                <w:rFonts w:ascii="Source Sans Pro" w:eastAsia="Yu Gothic UI" w:hAnsi="Source Sans Pro"/>
                <w:b/>
                <w:bCs/>
                <w:color w:val="052D3F" w:themeColor="accent1"/>
                <w:sz w:val="18"/>
                <w:szCs w:val="44"/>
                <w:lang w:val="en-US"/>
              </w:rPr>
              <w:t>Albert Island</w:t>
            </w:r>
          </w:p>
        </w:tc>
        <w:tc>
          <w:tcPr>
            <w:tcW w:w="2835" w:type="dxa"/>
            <w:tcBorders>
              <w:top w:val="single" w:sz="8" w:space="0" w:color="FF5000" w:themeColor="accent6"/>
              <w:left w:val="nil"/>
              <w:bottom w:val="single" w:sz="8" w:space="0" w:color="FF5000" w:themeColor="accent6"/>
              <w:right w:val="nil"/>
            </w:tcBorders>
            <w:shd w:val="clear" w:color="auto" w:fill="FFFFFF"/>
            <w:tcMar>
              <w:top w:w="72" w:type="dxa"/>
              <w:left w:w="144" w:type="dxa"/>
              <w:bottom w:w="72" w:type="dxa"/>
              <w:right w:w="144" w:type="dxa"/>
            </w:tcMar>
            <w:vAlign w:val="center"/>
          </w:tcPr>
          <w:p w14:paraId="46967193" w14:textId="0CE18181" w:rsidR="006B1D34" w:rsidRPr="008A5D1D" w:rsidRDefault="006B1D34" w:rsidP="006B1D34">
            <w:pPr>
              <w:pStyle w:val="TableTitleInTable"/>
              <w:ind w:left="0"/>
              <w:rPr>
                <w:rFonts w:ascii="Source Sans Pro" w:eastAsia="Yu Gothic UI" w:hAnsi="Source Sans Pro"/>
                <w:bCs/>
                <w:color w:val="052D3F" w:themeColor="accent1"/>
                <w:sz w:val="16"/>
                <w:szCs w:val="17"/>
                <w:lang w:val="en-US"/>
              </w:rPr>
            </w:pPr>
            <w:r w:rsidRPr="008A5D1D">
              <w:rPr>
                <w:rFonts w:ascii="Source Sans Pro" w:hAnsi="Source Sans Pro"/>
                <w:color w:val="052D3F" w:themeColor="accent1"/>
                <w:sz w:val="16"/>
                <w:szCs w:val="17"/>
              </w:rPr>
              <w:t xml:space="preserve">A focus for water-based activity, proving regionally significant business employment and training in marine and maritime based </w:t>
            </w:r>
            <w:r w:rsidR="00AF0356" w:rsidRPr="008A5D1D">
              <w:rPr>
                <w:rFonts w:ascii="Source Sans Pro" w:hAnsi="Source Sans Pro"/>
                <w:color w:val="052D3F" w:themeColor="accent1"/>
                <w:sz w:val="16"/>
                <w:szCs w:val="17"/>
              </w:rPr>
              <w:t xml:space="preserve">engineering </w:t>
            </w:r>
            <w:r w:rsidRPr="008A5D1D">
              <w:rPr>
                <w:rFonts w:ascii="Source Sans Pro" w:hAnsi="Source Sans Pro"/>
                <w:color w:val="052D3F" w:themeColor="accent1"/>
                <w:sz w:val="16"/>
                <w:szCs w:val="17"/>
              </w:rPr>
              <w:t>industries. A trailblazer for water-based innovation</w:t>
            </w:r>
            <w:r w:rsidR="00562581">
              <w:rPr>
                <w:rFonts w:ascii="Source Sans Pro" w:hAnsi="Source Sans Pro"/>
                <w:color w:val="052D3F" w:themeColor="accent1"/>
                <w:sz w:val="16"/>
                <w:szCs w:val="17"/>
              </w:rPr>
              <w:t>.</w:t>
            </w:r>
          </w:p>
        </w:tc>
        <w:tc>
          <w:tcPr>
            <w:tcW w:w="1701" w:type="dxa"/>
            <w:tcBorders>
              <w:top w:val="single" w:sz="8" w:space="0" w:color="FF5000" w:themeColor="accent6"/>
              <w:left w:val="nil"/>
              <w:bottom w:val="single" w:sz="8" w:space="0" w:color="FF5000" w:themeColor="accent6"/>
              <w:right w:val="nil"/>
            </w:tcBorders>
            <w:shd w:val="clear" w:color="auto" w:fill="FFFFFF"/>
            <w:vAlign w:val="center"/>
          </w:tcPr>
          <w:p w14:paraId="3514F894" w14:textId="6F25B30F" w:rsidR="006B1D34" w:rsidRPr="008A5D1D" w:rsidRDefault="006F4713" w:rsidP="002124ED">
            <w:pPr>
              <w:pStyle w:val="TableBullet"/>
              <w:numPr>
                <w:ilvl w:val="0"/>
                <w:numId w:val="0"/>
              </w:numPr>
              <w:ind w:left="85"/>
              <w:rPr>
                <w:rFonts w:ascii="Source Sans Pro" w:hAnsi="Source Sans Pro"/>
                <w:color w:val="052D3F" w:themeColor="accent1"/>
                <w:sz w:val="16"/>
                <w:szCs w:val="17"/>
              </w:rPr>
            </w:pPr>
            <w:r>
              <w:rPr>
                <w:rFonts w:ascii="Source Sans Pro" w:hAnsi="Source Sans Pro"/>
                <w:color w:val="052D3F" w:themeColor="accent1"/>
                <w:sz w:val="16"/>
                <w:lang w:val="en-US"/>
              </w:rPr>
              <w:t xml:space="preserve">A </w:t>
            </w:r>
            <w:r w:rsidR="00AF0356" w:rsidRPr="008A5D1D">
              <w:rPr>
                <w:rFonts w:ascii="Source Sans Pro" w:hAnsi="Source Sans Pro"/>
                <w:color w:val="052D3F" w:themeColor="accent1"/>
                <w:sz w:val="16"/>
              </w:rPr>
              <w:t>direct r</w:t>
            </w:r>
            <w:r w:rsidR="006B1D34" w:rsidRPr="008A5D1D">
              <w:rPr>
                <w:rFonts w:ascii="Source Sans Pro" w:hAnsi="Source Sans Pro"/>
                <w:color w:val="052D3F" w:themeColor="accent1"/>
                <w:sz w:val="16"/>
              </w:rPr>
              <w:t xml:space="preserve">esponse to </w:t>
            </w:r>
            <w:r w:rsidR="00AF0356" w:rsidRPr="008A5D1D">
              <w:rPr>
                <w:rFonts w:ascii="Source Sans Pro" w:hAnsi="Source Sans Pro"/>
                <w:color w:val="052D3F" w:themeColor="accent1"/>
                <w:sz w:val="16"/>
              </w:rPr>
              <w:t xml:space="preserve">sector </w:t>
            </w:r>
            <w:r w:rsidR="006B1D34" w:rsidRPr="008A5D1D">
              <w:rPr>
                <w:rFonts w:ascii="Source Sans Pro" w:hAnsi="Source Sans Pro"/>
                <w:color w:val="052D3F" w:themeColor="accent1"/>
                <w:sz w:val="16"/>
              </w:rPr>
              <w:t>demand</w:t>
            </w:r>
            <w:r w:rsidR="009D7CFB" w:rsidRPr="008A5D1D">
              <w:rPr>
                <w:rFonts w:ascii="Source Sans Pro" w:hAnsi="Source Sans Pro"/>
                <w:color w:val="052D3F" w:themeColor="accent1"/>
                <w:sz w:val="16"/>
              </w:rPr>
              <w:t xml:space="preserve"> and links to industrial past</w:t>
            </w:r>
            <w:r>
              <w:rPr>
                <w:rFonts w:ascii="Source Sans Pro" w:hAnsi="Source Sans Pro"/>
                <w:color w:val="052D3F" w:themeColor="accent1"/>
                <w:sz w:val="16"/>
              </w:rPr>
              <w:t xml:space="preserve">; </w:t>
            </w:r>
            <w:r w:rsidR="00D57B4D" w:rsidRPr="008A5D1D">
              <w:rPr>
                <w:rFonts w:ascii="Source Sans Pro" w:hAnsi="Source Sans Pro"/>
                <w:color w:val="052D3F" w:themeColor="accent1"/>
                <w:sz w:val="16"/>
              </w:rPr>
              <w:t>economic</w:t>
            </w:r>
            <w:r w:rsidR="006B1D34" w:rsidRPr="008A5D1D">
              <w:rPr>
                <w:rFonts w:ascii="Source Sans Pro" w:hAnsi="Source Sans Pro"/>
                <w:color w:val="052D3F" w:themeColor="accent1"/>
                <w:sz w:val="16"/>
              </w:rPr>
              <w:t xml:space="preserve"> value from wate</w:t>
            </w:r>
            <w:r w:rsidR="009D7CFB" w:rsidRPr="008A5D1D">
              <w:rPr>
                <w:rFonts w:ascii="Source Sans Pro" w:hAnsi="Source Sans Pro"/>
                <w:color w:val="052D3F" w:themeColor="accent1"/>
                <w:sz w:val="16"/>
              </w:rPr>
              <w:t xml:space="preserve">r; </w:t>
            </w:r>
            <w:r w:rsidR="006B1D34" w:rsidRPr="008A5D1D">
              <w:rPr>
                <w:rFonts w:ascii="Source Sans Pro" w:hAnsi="Source Sans Pro"/>
                <w:color w:val="052D3F" w:themeColor="accent1"/>
                <w:sz w:val="16"/>
              </w:rPr>
              <w:t>visible links to HE</w:t>
            </w:r>
            <w:r w:rsidR="009D7CFB" w:rsidRPr="008A5D1D">
              <w:rPr>
                <w:rFonts w:ascii="Source Sans Pro" w:hAnsi="Source Sans Pro"/>
                <w:color w:val="052D3F" w:themeColor="accent1"/>
                <w:sz w:val="16"/>
              </w:rPr>
              <w:t xml:space="preserve">; </w:t>
            </w:r>
            <w:r w:rsidR="002124ED" w:rsidRPr="008A5D1D">
              <w:rPr>
                <w:rFonts w:ascii="Source Sans Pro" w:hAnsi="Source Sans Pro"/>
                <w:color w:val="052D3F" w:themeColor="accent1"/>
                <w:sz w:val="16"/>
              </w:rPr>
              <w:t>p</w:t>
            </w:r>
            <w:r w:rsidR="006B1D34" w:rsidRPr="008A5D1D">
              <w:rPr>
                <w:rFonts w:ascii="Source Sans Pro" w:hAnsi="Source Sans Pro"/>
                <w:color w:val="052D3F" w:themeColor="accent1"/>
                <w:sz w:val="16"/>
              </w:rPr>
              <w:t>ractical career and training opportunitie</w:t>
            </w:r>
            <w:r w:rsidR="009D7CFB" w:rsidRPr="008A5D1D">
              <w:rPr>
                <w:rFonts w:ascii="Source Sans Pro" w:hAnsi="Source Sans Pro"/>
                <w:color w:val="052D3F" w:themeColor="accent1"/>
                <w:sz w:val="16"/>
              </w:rPr>
              <w:t xml:space="preserve">s; </w:t>
            </w:r>
            <w:r w:rsidR="002805ED" w:rsidRPr="008A5D1D">
              <w:rPr>
                <w:rFonts w:ascii="Source Sans Pro" w:hAnsi="Source Sans Pro"/>
                <w:color w:val="052D3F" w:themeColor="accent1"/>
                <w:sz w:val="16"/>
              </w:rPr>
              <w:t xml:space="preserve">innovation </w:t>
            </w:r>
            <w:r w:rsidR="006B1D34" w:rsidRPr="008A5D1D">
              <w:rPr>
                <w:rFonts w:ascii="Source Sans Pro" w:hAnsi="Source Sans Pro"/>
                <w:color w:val="052D3F" w:themeColor="accent1"/>
                <w:sz w:val="16"/>
              </w:rPr>
              <w:t>routes</w:t>
            </w:r>
            <w:r w:rsidR="00562581">
              <w:rPr>
                <w:rFonts w:ascii="Source Sans Pro" w:hAnsi="Source Sans Pro"/>
                <w:color w:val="052D3F" w:themeColor="accent1"/>
                <w:sz w:val="16"/>
              </w:rPr>
              <w:t>.</w:t>
            </w:r>
          </w:p>
        </w:tc>
        <w:tc>
          <w:tcPr>
            <w:tcW w:w="3600" w:type="dxa"/>
            <w:tcBorders>
              <w:top w:val="single" w:sz="8" w:space="0" w:color="FF5000" w:themeColor="accent6"/>
              <w:left w:val="nil"/>
              <w:bottom w:val="single" w:sz="8" w:space="0" w:color="FF5000" w:themeColor="accent6"/>
              <w:right w:val="nil"/>
            </w:tcBorders>
            <w:shd w:val="clear" w:color="auto" w:fill="FFFFFF"/>
            <w:vAlign w:val="center"/>
          </w:tcPr>
          <w:p w14:paraId="3269F99A" w14:textId="77777777" w:rsidR="00790440" w:rsidRPr="00291AD3" w:rsidRDefault="00790440" w:rsidP="00790440">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Funding for water-based innovation projects</w:t>
            </w:r>
          </w:p>
          <w:p w14:paraId="0CDFD48B" w14:textId="250076CB" w:rsidR="006B1D34" w:rsidRPr="00291AD3" w:rsidRDefault="006B1D34" w:rsidP="00A13361">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 xml:space="preserve">Integration of the London Institute of Transport Technology into </w:t>
            </w:r>
            <w:r w:rsidR="00472E6C">
              <w:rPr>
                <w:rFonts w:ascii="Source Sans Pro" w:hAnsi="Source Sans Pro"/>
                <w:color w:val="052D3F" w:themeColor="accent1"/>
                <w:sz w:val="16"/>
                <w:szCs w:val="19"/>
              </w:rPr>
              <w:t>reformed</w:t>
            </w:r>
            <w:r w:rsidRPr="00291AD3">
              <w:rPr>
                <w:rFonts w:ascii="Source Sans Pro" w:hAnsi="Source Sans Pro"/>
                <w:color w:val="052D3F" w:themeColor="accent1"/>
                <w:sz w:val="16"/>
                <w:szCs w:val="19"/>
              </w:rPr>
              <w:t xml:space="preserve"> Workplace and Business Support interventions</w:t>
            </w:r>
          </w:p>
          <w:p w14:paraId="786398D9" w14:textId="77777777" w:rsidR="006B1D34" w:rsidRPr="00291AD3" w:rsidRDefault="006B1D34" w:rsidP="00A13361">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Enhanced development of maritime skills offer linked to London and the wider Thames Estuary</w:t>
            </w:r>
          </w:p>
          <w:p w14:paraId="46FDFECA" w14:textId="2C65A943" w:rsidR="006B1D34" w:rsidRPr="00291AD3" w:rsidRDefault="006B1D34" w:rsidP="00A13361">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 xml:space="preserve">Further development of links to </w:t>
            </w:r>
            <w:r w:rsidR="003C1633" w:rsidRPr="00291AD3">
              <w:rPr>
                <w:rFonts w:ascii="Source Sans Pro" w:hAnsi="Source Sans Pro"/>
                <w:color w:val="052D3F" w:themeColor="accent1"/>
                <w:sz w:val="16"/>
                <w:szCs w:val="19"/>
              </w:rPr>
              <w:t>UEL</w:t>
            </w:r>
            <w:r w:rsidRPr="00291AD3">
              <w:rPr>
                <w:rFonts w:ascii="Source Sans Pro" w:hAnsi="Source Sans Pro"/>
                <w:color w:val="052D3F" w:themeColor="accent1"/>
                <w:sz w:val="16"/>
                <w:szCs w:val="19"/>
              </w:rPr>
              <w:t xml:space="preserve"> and long-term strategy for Knowledge Exchange</w:t>
            </w:r>
          </w:p>
        </w:tc>
      </w:tr>
      <w:tr w:rsidR="006B1D34" w:rsidRPr="00F72A73" w14:paraId="014DCE6E" w14:textId="40354C88" w:rsidTr="008A5D1D">
        <w:trPr>
          <w:cantSplit/>
          <w:trHeight w:val="1052"/>
        </w:trPr>
        <w:tc>
          <w:tcPr>
            <w:tcW w:w="567" w:type="dxa"/>
            <w:tcBorders>
              <w:top w:val="single" w:sz="8" w:space="0" w:color="FF5000" w:themeColor="accent6"/>
              <w:left w:val="nil"/>
              <w:bottom w:val="single" w:sz="18" w:space="0" w:color="08445E" w:themeColor="accent2"/>
              <w:right w:val="nil"/>
            </w:tcBorders>
            <w:shd w:val="clear" w:color="auto" w:fill="auto"/>
            <w:tcMar>
              <w:top w:w="72" w:type="dxa"/>
              <w:left w:w="144" w:type="dxa"/>
              <w:bottom w:w="72" w:type="dxa"/>
              <w:right w:w="144" w:type="dxa"/>
            </w:tcMar>
            <w:textDirection w:val="btLr"/>
            <w:vAlign w:val="center"/>
          </w:tcPr>
          <w:p w14:paraId="5B375FD4" w14:textId="0D489498" w:rsidR="006B1D34" w:rsidRPr="00047532" w:rsidRDefault="006B1D34" w:rsidP="006B1D34">
            <w:pPr>
              <w:pStyle w:val="TableTitleInTable"/>
              <w:ind w:right="113"/>
              <w:jc w:val="center"/>
              <w:rPr>
                <w:rFonts w:ascii="Source Sans Pro" w:eastAsia="Yu Gothic UI" w:hAnsi="Source Sans Pro"/>
                <w:b/>
                <w:bCs/>
                <w:color w:val="052D3F" w:themeColor="accent1"/>
                <w:sz w:val="18"/>
                <w:szCs w:val="44"/>
                <w:lang w:val="en-US"/>
              </w:rPr>
            </w:pPr>
            <w:r w:rsidRPr="00047532">
              <w:rPr>
                <w:rFonts w:ascii="Source Sans Pro" w:eastAsia="Yu Gothic UI" w:hAnsi="Source Sans Pro"/>
                <w:b/>
                <w:bCs/>
                <w:color w:val="052D3F" w:themeColor="accent1"/>
                <w:sz w:val="18"/>
                <w:szCs w:val="44"/>
                <w:lang w:val="en-US"/>
              </w:rPr>
              <w:t>Silvertown</w:t>
            </w:r>
          </w:p>
        </w:tc>
        <w:tc>
          <w:tcPr>
            <w:tcW w:w="2835" w:type="dxa"/>
            <w:tcBorders>
              <w:top w:val="single" w:sz="8" w:space="0" w:color="FF5000" w:themeColor="accent6"/>
              <w:left w:val="nil"/>
              <w:bottom w:val="single" w:sz="18" w:space="0" w:color="08445E" w:themeColor="accent2"/>
              <w:right w:val="nil"/>
            </w:tcBorders>
            <w:shd w:val="clear" w:color="auto" w:fill="FFFFFF"/>
            <w:tcMar>
              <w:top w:w="72" w:type="dxa"/>
              <w:left w:w="144" w:type="dxa"/>
              <w:bottom w:w="72" w:type="dxa"/>
              <w:right w:w="144" w:type="dxa"/>
            </w:tcMar>
            <w:vAlign w:val="center"/>
          </w:tcPr>
          <w:p w14:paraId="766436AF" w14:textId="7AA853B1" w:rsidR="006B1D34" w:rsidRPr="008A5D1D" w:rsidRDefault="006B1D34" w:rsidP="006B1D34">
            <w:pPr>
              <w:pStyle w:val="TableTitleInTable"/>
              <w:ind w:left="0"/>
              <w:rPr>
                <w:rFonts w:ascii="Source Sans Pro" w:eastAsia="Yu Gothic UI" w:hAnsi="Source Sans Pro"/>
                <w:bCs/>
                <w:color w:val="052D3F" w:themeColor="accent1"/>
                <w:sz w:val="16"/>
                <w:szCs w:val="16"/>
              </w:rPr>
            </w:pPr>
            <w:r w:rsidRPr="008A5D1D">
              <w:rPr>
                <w:rFonts w:ascii="Source Sans Pro" w:hAnsi="Source Sans Pro"/>
                <w:color w:val="052D3F" w:themeColor="accent1"/>
                <w:sz w:val="16"/>
                <w:szCs w:val="16"/>
              </w:rPr>
              <w:t xml:space="preserve">Developing a business identity </w:t>
            </w:r>
            <w:r w:rsidR="00790440">
              <w:rPr>
                <w:rFonts w:ascii="Source Sans Pro" w:hAnsi="Source Sans Pro"/>
                <w:color w:val="052D3F" w:themeColor="accent1"/>
                <w:sz w:val="16"/>
                <w:szCs w:val="16"/>
              </w:rPr>
              <w:t>focused around culture, creativity and</w:t>
            </w:r>
            <w:r w:rsidRPr="008A5D1D">
              <w:rPr>
                <w:rFonts w:ascii="Source Sans Pro" w:hAnsi="Source Sans Pro"/>
                <w:color w:val="052D3F" w:themeColor="accent1"/>
                <w:sz w:val="16"/>
                <w:szCs w:val="16"/>
              </w:rPr>
              <w:t xml:space="preserve"> production</w:t>
            </w:r>
            <w:r w:rsidR="00562581">
              <w:rPr>
                <w:rFonts w:ascii="Source Sans Pro" w:hAnsi="Source Sans Pro"/>
                <w:color w:val="052D3F" w:themeColor="accent1"/>
                <w:sz w:val="16"/>
                <w:szCs w:val="16"/>
              </w:rPr>
              <w:t xml:space="preserve">, and linking back </w:t>
            </w:r>
            <w:r w:rsidRPr="008A5D1D">
              <w:rPr>
                <w:rFonts w:ascii="Source Sans Pro" w:hAnsi="Source Sans Pro"/>
                <w:color w:val="052D3F" w:themeColor="accent1"/>
                <w:sz w:val="16"/>
                <w:szCs w:val="16"/>
              </w:rPr>
              <w:t>to past and current manufacturing (Tate &amp; Lyle)</w:t>
            </w:r>
            <w:r w:rsidR="00562581">
              <w:rPr>
                <w:rFonts w:ascii="Source Sans Pro" w:hAnsi="Source Sans Pro"/>
                <w:color w:val="052D3F" w:themeColor="accent1"/>
                <w:sz w:val="16"/>
                <w:szCs w:val="16"/>
              </w:rPr>
              <w:t xml:space="preserve"> heritage</w:t>
            </w:r>
            <w:r w:rsidRPr="008A5D1D">
              <w:rPr>
                <w:rFonts w:ascii="Source Sans Pro" w:hAnsi="Source Sans Pro"/>
                <w:color w:val="052D3F" w:themeColor="accent1"/>
                <w:sz w:val="16"/>
                <w:szCs w:val="16"/>
              </w:rPr>
              <w:t>.</w:t>
            </w:r>
          </w:p>
        </w:tc>
        <w:tc>
          <w:tcPr>
            <w:tcW w:w="1701" w:type="dxa"/>
            <w:tcBorders>
              <w:top w:val="single" w:sz="8" w:space="0" w:color="FF5000" w:themeColor="accent6"/>
              <w:left w:val="nil"/>
              <w:bottom w:val="single" w:sz="18" w:space="0" w:color="08445E" w:themeColor="accent2"/>
              <w:right w:val="nil"/>
            </w:tcBorders>
            <w:shd w:val="clear" w:color="auto" w:fill="FFFFFF"/>
            <w:vAlign w:val="center"/>
          </w:tcPr>
          <w:p w14:paraId="01FBB4F7" w14:textId="04750E78" w:rsidR="006B1D34" w:rsidRPr="008A5D1D" w:rsidRDefault="006B1D34" w:rsidP="002124ED">
            <w:pPr>
              <w:pStyle w:val="TableBullet"/>
              <w:numPr>
                <w:ilvl w:val="0"/>
                <w:numId w:val="0"/>
              </w:numPr>
              <w:ind w:left="85"/>
              <w:rPr>
                <w:rFonts w:ascii="Source Sans Pro" w:hAnsi="Source Sans Pro"/>
                <w:color w:val="052D3F" w:themeColor="accent1"/>
                <w:sz w:val="16"/>
                <w:szCs w:val="16"/>
              </w:rPr>
            </w:pPr>
            <w:r w:rsidRPr="008A5D1D">
              <w:rPr>
                <w:rFonts w:ascii="Source Sans Pro" w:hAnsi="Source Sans Pro"/>
                <w:color w:val="052D3F" w:themeColor="accent1"/>
                <w:sz w:val="16"/>
                <w:szCs w:val="16"/>
              </w:rPr>
              <w:t>Initial animation projects</w:t>
            </w:r>
            <w:r w:rsidR="002124ED" w:rsidRPr="008A5D1D">
              <w:rPr>
                <w:rFonts w:ascii="Source Sans Pro" w:hAnsi="Source Sans Pro"/>
                <w:color w:val="052D3F" w:themeColor="accent1"/>
                <w:sz w:val="16"/>
                <w:szCs w:val="16"/>
              </w:rPr>
              <w:t xml:space="preserve"> to inspire </w:t>
            </w:r>
            <w:r w:rsidR="00291AD3" w:rsidRPr="008A5D1D">
              <w:rPr>
                <w:rFonts w:ascii="Source Sans Pro" w:hAnsi="Source Sans Pro"/>
                <w:color w:val="052D3F" w:themeColor="accent1"/>
                <w:sz w:val="16"/>
                <w:szCs w:val="16"/>
              </w:rPr>
              <w:t xml:space="preserve">/ </w:t>
            </w:r>
            <w:r w:rsidR="002124ED" w:rsidRPr="008A5D1D">
              <w:rPr>
                <w:rFonts w:ascii="Source Sans Pro" w:hAnsi="Source Sans Pro"/>
                <w:color w:val="052D3F" w:themeColor="accent1"/>
                <w:sz w:val="16"/>
                <w:szCs w:val="16"/>
              </w:rPr>
              <w:t xml:space="preserve">excite. </w:t>
            </w:r>
            <w:r w:rsidR="00CF3FD1" w:rsidRPr="008A5D1D">
              <w:rPr>
                <w:rFonts w:ascii="Source Sans Pro" w:hAnsi="Source Sans Pro"/>
                <w:color w:val="052D3F" w:themeColor="accent1"/>
                <w:sz w:val="16"/>
                <w:szCs w:val="16"/>
              </w:rPr>
              <w:t>A</w:t>
            </w:r>
            <w:r w:rsidR="002124ED" w:rsidRPr="008A5D1D">
              <w:rPr>
                <w:rFonts w:ascii="Source Sans Pro" w:hAnsi="Source Sans Pro"/>
                <w:color w:val="052D3F" w:themeColor="accent1"/>
                <w:sz w:val="16"/>
                <w:szCs w:val="16"/>
              </w:rPr>
              <w:t xml:space="preserve"> k</w:t>
            </w:r>
            <w:r w:rsidRPr="008A5D1D">
              <w:rPr>
                <w:rFonts w:ascii="Source Sans Pro" w:hAnsi="Source Sans Pro"/>
                <w:color w:val="052D3F" w:themeColor="accent1"/>
                <w:sz w:val="16"/>
                <w:szCs w:val="16"/>
              </w:rPr>
              <w:t>ey provider of jobs</w:t>
            </w:r>
            <w:r w:rsidR="00112000" w:rsidRPr="008A5D1D">
              <w:rPr>
                <w:rFonts w:ascii="Source Sans Pro" w:hAnsi="Source Sans Pro"/>
                <w:color w:val="052D3F" w:themeColor="accent1"/>
                <w:sz w:val="16"/>
                <w:szCs w:val="16"/>
              </w:rPr>
              <w:t xml:space="preserve"> and identity. </w:t>
            </w:r>
            <w:r w:rsidRPr="008A5D1D">
              <w:rPr>
                <w:rFonts w:ascii="Source Sans Pro" w:hAnsi="Source Sans Pro"/>
                <w:color w:val="052D3F" w:themeColor="accent1"/>
                <w:sz w:val="16"/>
                <w:szCs w:val="16"/>
              </w:rPr>
              <w:t xml:space="preserve"> </w:t>
            </w:r>
            <w:r w:rsidR="00112000" w:rsidRPr="008A5D1D">
              <w:rPr>
                <w:rFonts w:ascii="Source Sans Pro" w:hAnsi="Source Sans Pro"/>
                <w:color w:val="052D3F" w:themeColor="accent1"/>
                <w:sz w:val="16"/>
                <w:szCs w:val="16"/>
              </w:rPr>
              <w:t xml:space="preserve">Important residential hub and </w:t>
            </w:r>
            <w:r w:rsidR="00CF3FD1" w:rsidRPr="008A5D1D">
              <w:rPr>
                <w:rFonts w:ascii="Source Sans Pro" w:hAnsi="Source Sans Pro"/>
                <w:color w:val="052D3F" w:themeColor="accent1"/>
                <w:sz w:val="16"/>
                <w:szCs w:val="16"/>
              </w:rPr>
              <w:t xml:space="preserve">labour </w:t>
            </w:r>
            <w:r w:rsidR="00112000" w:rsidRPr="008A5D1D">
              <w:rPr>
                <w:rFonts w:ascii="Source Sans Pro" w:hAnsi="Source Sans Pro"/>
                <w:color w:val="052D3F" w:themeColor="accent1"/>
                <w:sz w:val="16"/>
                <w:szCs w:val="16"/>
              </w:rPr>
              <w:t>source</w:t>
            </w:r>
            <w:r w:rsidR="00562581">
              <w:rPr>
                <w:rFonts w:ascii="Source Sans Pro" w:hAnsi="Source Sans Pro"/>
                <w:color w:val="052D3F" w:themeColor="accent1"/>
                <w:sz w:val="16"/>
                <w:szCs w:val="16"/>
              </w:rPr>
              <w:t>.</w:t>
            </w:r>
          </w:p>
        </w:tc>
        <w:tc>
          <w:tcPr>
            <w:tcW w:w="3600" w:type="dxa"/>
            <w:tcBorders>
              <w:top w:val="single" w:sz="8" w:space="0" w:color="FF5000" w:themeColor="accent6"/>
              <w:left w:val="nil"/>
              <w:bottom w:val="single" w:sz="18" w:space="0" w:color="08445E" w:themeColor="accent2"/>
              <w:right w:val="nil"/>
            </w:tcBorders>
            <w:shd w:val="clear" w:color="auto" w:fill="FFFFFF"/>
            <w:vAlign w:val="center"/>
          </w:tcPr>
          <w:p w14:paraId="5D24A105" w14:textId="12287EDE" w:rsidR="00871FF3" w:rsidRPr="00291AD3" w:rsidRDefault="00871FF3" w:rsidP="00871FF3">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Inward investment</w:t>
            </w:r>
            <w:r>
              <w:rPr>
                <w:rFonts w:ascii="Source Sans Pro" w:hAnsi="Source Sans Pro"/>
                <w:color w:val="052D3F" w:themeColor="accent1"/>
                <w:sz w:val="16"/>
                <w:szCs w:val="19"/>
              </w:rPr>
              <w:t xml:space="preserve"> – </w:t>
            </w:r>
            <w:r w:rsidRPr="00291AD3">
              <w:rPr>
                <w:rFonts w:ascii="Source Sans Pro" w:hAnsi="Source Sans Pro"/>
                <w:color w:val="052D3F" w:themeColor="accent1"/>
                <w:sz w:val="16"/>
                <w:szCs w:val="19"/>
              </w:rPr>
              <w:t>targeting anchor tenants</w:t>
            </w:r>
            <w:r w:rsidR="00DA1D9C">
              <w:rPr>
                <w:rFonts w:ascii="Source Sans Pro" w:hAnsi="Source Sans Pro"/>
                <w:color w:val="052D3F" w:themeColor="accent1"/>
                <w:sz w:val="16"/>
                <w:szCs w:val="19"/>
              </w:rPr>
              <w:t xml:space="preserve"> and providing aftercare</w:t>
            </w:r>
          </w:p>
          <w:p w14:paraId="0FE95165" w14:textId="315C2DE5" w:rsidR="00DA1D9C" w:rsidRDefault="0033481A" w:rsidP="00871FF3">
            <w:pPr>
              <w:pStyle w:val="TableBullet"/>
              <w:ind w:left="198" w:hanging="170"/>
              <w:rPr>
                <w:rFonts w:ascii="Source Sans Pro" w:hAnsi="Source Sans Pro"/>
                <w:color w:val="052D3F" w:themeColor="accent1"/>
                <w:sz w:val="16"/>
                <w:szCs w:val="19"/>
              </w:rPr>
            </w:pPr>
            <w:r>
              <w:rPr>
                <w:rFonts w:ascii="Source Sans Pro" w:hAnsi="Source Sans Pro"/>
                <w:color w:val="052D3F" w:themeColor="accent1"/>
                <w:sz w:val="16"/>
                <w:szCs w:val="19"/>
              </w:rPr>
              <w:t xml:space="preserve">Clear workspace strategy to curate supply </w:t>
            </w:r>
          </w:p>
          <w:p w14:paraId="3859823C" w14:textId="71E67AEE" w:rsidR="0033481A" w:rsidRDefault="0033481A" w:rsidP="00871FF3">
            <w:pPr>
              <w:pStyle w:val="TableBullet"/>
              <w:ind w:left="198" w:hanging="170"/>
              <w:rPr>
                <w:rFonts w:ascii="Source Sans Pro" w:hAnsi="Source Sans Pro"/>
                <w:color w:val="052D3F" w:themeColor="accent1"/>
                <w:sz w:val="16"/>
                <w:szCs w:val="19"/>
              </w:rPr>
            </w:pPr>
            <w:r>
              <w:rPr>
                <w:rFonts w:ascii="Source Sans Pro" w:hAnsi="Source Sans Pro"/>
                <w:color w:val="052D3F" w:themeColor="accent1"/>
                <w:sz w:val="16"/>
                <w:szCs w:val="19"/>
              </w:rPr>
              <w:t xml:space="preserve">Linking Newham businesses to </w:t>
            </w:r>
            <w:r w:rsidR="0023256B">
              <w:rPr>
                <w:rFonts w:ascii="Source Sans Pro" w:hAnsi="Source Sans Pro"/>
                <w:color w:val="052D3F" w:themeColor="accent1"/>
                <w:sz w:val="16"/>
                <w:szCs w:val="19"/>
              </w:rPr>
              <w:t>amenity spaces</w:t>
            </w:r>
          </w:p>
          <w:p w14:paraId="39B3ED2B" w14:textId="78A14CA2" w:rsidR="0023256B" w:rsidRDefault="0023256B" w:rsidP="00871FF3">
            <w:pPr>
              <w:pStyle w:val="TableBullet"/>
              <w:ind w:left="198" w:hanging="170"/>
              <w:rPr>
                <w:rFonts w:ascii="Source Sans Pro" w:hAnsi="Source Sans Pro"/>
                <w:color w:val="052D3F" w:themeColor="accent1"/>
                <w:sz w:val="16"/>
                <w:szCs w:val="19"/>
              </w:rPr>
            </w:pPr>
            <w:r>
              <w:rPr>
                <w:rFonts w:ascii="Source Sans Pro" w:hAnsi="Source Sans Pro"/>
                <w:color w:val="052D3F" w:themeColor="accent1"/>
                <w:sz w:val="16"/>
                <w:szCs w:val="19"/>
              </w:rPr>
              <w:t xml:space="preserve">Roll out of reformed Workplace model </w:t>
            </w:r>
            <w:r w:rsidR="006F4713">
              <w:rPr>
                <w:rFonts w:ascii="Source Sans Pro" w:hAnsi="Source Sans Pro"/>
                <w:color w:val="052D3F" w:themeColor="accent1"/>
                <w:sz w:val="16"/>
                <w:szCs w:val="19"/>
              </w:rPr>
              <w:t>with c. 20,000 jobs in the offing</w:t>
            </w:r>
          </w:p>
          <w:p w14:paraId="42EC2445" w14:textId="113A9816" w:rsidR="00871FF3" w:rsidRDefault="00871FF3" w:rsidP="00871FF3">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 xml:space="preserve">New models of leasing to stimulate investment </w:t>
            </w:r>
          </w:p>
          <w:p w14:paraId="57C5C5C9" w14:textId="17E01D92" w:rsidR="006B1D34" w:rsidRPr="00291AD3" w:rsidRDefault="006B1D34" w:rsidP="00DA1D9C">
            <w:pPr>
              <w:pStyle w:val="TableBullet"/>
              <w:ind w:left="198" w:hanging="170"/>
              <w:rPr>
                <w:rFonts w:ascii="Source Sans Pro" w:hAnsi="Source Sans Pro"/>
                <w:color w:val="052D3F" w:themeColor="accent1"/>
                <w:sz w:val="16"/>
                <w:szCs w:val="19"/>
              </w:rPr>
            </w:pPr>
            <w:r w:rsidRPr="00291AD3">
              <w:rPr>
                <w:rFonts w:ascii="Source Sans Pro" w:hAnsi="Source Sans Pro"/>
                <w:color w:val="052D3F" w:themeColor="accent1"/>
                <w:sz w:val="16"/>
                <w:szCs w:val="19"/>
              </w:rPr>
              <w:t>Test new types of ‘green’ business spaces</w:t>
            </w:r>
            <w:r w:rsidR="00DA1D9C">
              <w:rPr>
                <w:rFonts w:ascii="Source Sans Pro" w:hAnsi="Source Sans Pro"/>
                <w:color w:val="052D3F" w:themeColor="accent1"/>
                <w:sz w:val="16"/>
                <w:szCs w:val="19"/>
              </w:rPr>
              <w:t>.</w:t>
            </w:r>
          </w:p>
        </w:tc>
      </w:tr>
    </w:tbl>
    <w:p w14:paraId="764FA11E" w14:textId="76725D9B" w:rsidR="004C1BB4" w:rsidRDefault="004C1BB4" w:rsidP="004C1BB4">
      <w:pPr>
        <w:pStyle w:val="RDTier2"/>
      </w:pPr>
      <w:r>
        <w:lastRenderedPageBreak/>
        <w:t>b. Existing Amenity Centres</w:t>
      </w:r>
    </w:p>
    <w:p w14:paraId="26B15AB2" w14:textId="0B688326" w:rsidR="00ED516A" w:rsidRPr="00ED516A" w:rsidRDefault="00375601" w:rsidP="00ED516A">
      <w:pPr>
        <w:pStyle w:val="RDParagraph"/>
        <w:rPr>
          <w:lang w:val="en-US"/>
        </w:rPr>
      </w:pPr>
      <w:r>
        <w:t xml:space="preserve">These are </w:t>
      </w:r>
      <w:r w:rsidR="00D566B0">
        <w:t xml:space="preserve">established centres for local retail, services and amenities </w:t>
      </w:r>
      <w:r w:rsidR="00B425E5">
        <w:t xml:space="preserve">located within </w:t>
      </w:r>
      <w:r w:rsidR="00D566B0">
        <w:t>d</w:t>
      </w:r>
      <w:r w:rsidR="00ED516A" w:rsidRPr="00ED516A">
        <w:t xml:space="preserve">ensely populated </w:t>
      </w:r>
      <w:r w:rsidR="00D566B0">
        <w:t>residential</w:t>
      </w:r>
      <w:r w:rsidR="00B425E5">
        <w:t xml:space="preserve">. Each of the communities are characterised by </w:t>
      </w:r>
      <w:r w:rsidR="00ED516A" w:rsidRPr="00ED516A">
        <w:t xml:space="preserve">deeply embedded socio-economic </w:t>
      </w:r>
      <w:r w:rsidR="00B425E5">
        <w:t xml:space="preserve">barriers and challenges </w:t>
      </w:r>
      <w:r w:rsidR="00ED516A" w:rsidRPr="00ED516A">
        <w:t>of transience and</w:t>
      </w:r>
      <w:r w:rsidR="00B425E5">
        <w:t xml:space="preserve"> ph</w:t>
      </w:r>
      <w:r w:rsidR="00C80BC4">
        <w:t>ysical and social</w:t>
      </w:r>
      <w:r w:rsidR="00ED516A" w:rsidRPr="00ED516A">
        <w:t xml:space="preserve"> peripherality</w:t>
      </w:r>
      <w:r w:rsidR="00C80BC4">
        <w:t>.</w:t>
      </w:r>
    </w:p>
    <w:p w14:paraId="7CF11429" w14:textId="3C3886A4" w:rsidR="00ED516A" w:rsidRPr="00ED516A" w:rsidRDefault="00ED516A" w:rsidP="00C80BC4">
      <w:pPr>
        <w:pStyle w:val="RDBullet"/>
        <w:rPr>
          <w:lang w:val="en-US"/>
        </w:rPr>
      </w:pPr>
      <w:r w:rsidRPr="00ED516A">
        <w:rPr>
          <w:b/>
        </w:rPr>
        <w:t xml:space="preserve">Contribution to </w:t>
      </w:r>
      <w:r w:rsidR="0055561C">
        <w:rPr>
          <w:b/>
        </w:rPr>
        <w:t>Royal Docks Purpose</w:t>
      </w:r>
      <w:r w:rsidR="00CD595C">
        <w:rPr>
          <w:b/>
        </w:rPr>
        <w:t xml:space="preserve">: </w:t>
      </w:r>
      <w:r w:rsidR="005370B2">
        <w:t>all of</w:t>
      </w:r>
      <w:r w:rsidR="00CD595C">
        <w:t xml:space="preserve"> these areas act as ‘gateways’ to the Royal Docks, and</w:t>
      </w:r>
      <w:r w:rsidR="005370B2">
        <w:t xml:space="preserve"> so have an important role to play from a spatial and identity perspective. These locations also have an important role to play in providing services to existing and new communities, and as f</w:t>
      </w:r>
      <w:r w:rsidRPr="00ED516A">
        <w:t xml:space="preserve">ocal points for linking residents to </w:t>
      </w:r>
      <w:r w:rsidR="005370B2">
        <w:t xml:space="preserve">new </w:t>
      </w:r>
      <w:r w:rsidRPr="00ED516A">
        <w:t>opportunities.</w:t>
      </w:r>
    </w:p>
    <w:p w14:paraId="479F5D42" w14:textId="26ACF41A" w:rsidR="00ED516A" w:rsidRPr="00ED516A" w:rsidRDefault="0055561C" w:rsidP="00C80BC4">
      <w:pPr>
        <w:pStyle w:val="RDBullet"/>
        <w:rPr>
          <w:lang w:val="en-US"/>
        </w:rPr>
      </w:pPr>
      <w:r>
        <w:rPr>
          <w:b/>
        </w:rPr>
        <w:t>Focal P</w:t>
      </w:r>
      <w:r w:rsidR="005370B2">
        <w:rPr>
          <w:b/>
        </w:rPr>
        <w:t>o</w:t>
      </w:r>
      <w:r>
        <w:rPr>
          <w:b/>
        </w:rPr>
        <w:t xml:space="preserve">ints for </w:t>
      </w:r>
      <w:r w:rsidR="005370B2">
        <w:rPr>
          <w:b/>
        </w:rPr>
        <w:t>Intervention</w:t>
      </w:r>
      <w:r>
        <w:rPr>
          <w:b/>
        </w:rPr>
        <w:t>:</w:t>
      </w:r>
      <w:r w:rsidR="00ED516A" w:rsidRPr="00ED516A">
        <w:rPr>
          <w:b/>
        </w:rPr>
        <w:t xml:space="preserve"> </w:t>
      </w:r>
      <w:r w:rsidR="005370B2">
        <w:t>the d</w:t>
      </w:r>
      <w:r w:rsidR="00ED516A" w:rsidRPr="00ED516A">
        <w:t>evelopment of social capital and participation models</w:t>
      </w:r>
      <w:r w:rsidR="005370B2">
        <w:t xml:space="preserve">; actions to enhance </w:t>
      </w:r>
      <w:r w:rsidR="00ED516A" w:rsidRPr="00ED516A">
        <w:t>local amenity through citizen led actions</w:t>
      </w:r>
      <w:r w:rsidR="005370B2">
        <w:t>;</w:t>
      </w:r>
      <w:r w:rsidR="00ED516A" w:rsidRPr="00ED516A">
        <w:t xml:space="preserve"> support for community business to support local services</w:t>
      </w:r>
      <w:r w:rsidR="005370B2">
        <w:t xml:space="preserve">; and </w:t>
      </w:r>
      <w:r w:rsidR="00ED516A" w:rsidRPr="00ED516A">
        <w:t xml:space="preserve">local investment to support environmental enhancement </w:t>
      </w:r>
      <w:r w:rsidR="005370B2">
        <w:t xml:space="preserve">and placemaking </w:t>
      </w:r>
      <w:r w:rsidR="00ED516A" w:rsidRPr="00ED516A">
        <w:t>(e.g North Woolwich R</w:t>
      </w:r>
      <w:r w:rsidR="00DA0EAB">
        <w:t>oad</w:t>
      </w:r>
      <w:r w:rsidR="00ED516A" w:rsidRPr="00ED516A">
        <w:t>d</w:t>
      </w:r>
      <w:r w:rsidR="00DA0EAB">
        <w:t>)</w:t>
      </w:r>
      <w:r w:rsidR="005370B2">
        <w:t xml:space="preserve"> and</w:t>
      </w:r>
      <w:r w:rsidR="00DA0EAB">
        <w:t xml:space="preserve"> local </w:t>
      </w:r>
      <w:r w:rsidR="00ED516A" w:rsidRPr="00ED516A">
        <w:t>masterplanning (</w:t>
      </w:r>
      <w:r w:rsidR="00DA0EAB">
        <w:t xml:space="preserve">e.g. </w:t>
      </w:r>
      <w:r w:rsidR="00ED516A" w:rsidRPr="00ED516A">
        <w:t>Beckton).</w:t>
      </w:r>
    </w:p>
    <w:p w14:paraId="2CCC5993" w14:textId="70FBD645" w:rsidR="000E234E" w:rsidRPr="0062755C" w:rsidRDefault="000E234E" w:rsidP="000E234E">
      <w:pPr>
        <w:spacing w:after="0"/>
        <w:ind w:firstLine="680"/>
        <w:rPr>
          <w:i/>
        </w:rPr>
      </w:pPr>
      <w:r w:rsidRPr="0062755C">
        <w:rPr>
          <w:rFonts w:ascii="Source Sans Pro" w:hAnsi="Source Sans Pro"/>
          <w:b/>
          <w:i/>
          <w:color w:val="052D3F"/>
          <w:sz w:val="20"/>
        </w:rPr>
        <w:t xml:space="preserve">Figure </w:t>
      </w:r>
      <w:r>
        <w:rPr>
          <w:rFonts w:ascii="Source Sans Pro" w:hAnsi="Source Sans Pro"/>
          <w:b/>
          <w:i/>
          <w:color w:val="052D3F"/>
          <w:sz w:val="20"/>
        </w:rPr>
        <w:t>5</w:t>
      </w:r>
      <w:r w:rsidRPr="0062755C">
        <w:rPr>
          <w:rFonts w:ascii="Source Sans Pro" w:hAnsi="Source Sans Pro"/>
          <w:b/>
          <w:i/>
          <w:color w:val="052D3F"/>
          <w:sz w:val="20"/>
        </w:rPr>
        <w:t>.</w:t>
      </w:r>
      <w:r>
        <w:rPr>
          <w:rFonts w:ascii="Source Sans Pro" w:hAnsi="Source Sans Pro"/>
          <w:b/>
          <w:i/>
          <w:color w:val="052D3F"/>
          <w:sz w:val="20"/>
        </w:rPr>
        <w:t>2</w:t>
      </w:r>
      <w:r w:rsidRPr="0062755C">
        <w:rPr>
          <w:rFonts w:ascii="Source Sans Pro" w:hAnsi="Source Sans Pro"/>
          <w:b/>
          <w:i/>
          <w:color w:val="052D3F"/>
          <w:sz w:val="20"/>
        </w:rPr>
        <w:t xml:space="preserve">. </w:t>
      </w:r>
      <w:r>
        <w:rPr>
          <w:rFonts w:ascii="Source Sans Pro" w:hAnsi="Source Sans Pro"/>
          <w:b/>
          <w:i/>
          <w:color w:val="052D3F"/>
          <w:sz w:val="20"/>
        </w:rPr>
        <w:t>Existing Centres – Economic Role and Focus</w:t>
      </w:r>
    </w:p>
    <w:tbl>
      <w:tblPr>
        <w:tblW w:w="8703" w:type="dxa"/>
        <w:tblInd w:w="709" w:type="dxa"/>
        <w:tblCellMar>
          <w:left w:w="0" w:type="dxa"/>
          <w:right w:w="0" w:type="dxa"/>
        </w:tblCellMar>
        <w:tblLook w:val="0420" w:firstRow="1" w:lastRow="0" w:firstColumn="0" w:lastColumn="0" w:noHBand="0" w:noVBand="1"/>
      </w:tblPr>
      <w:tblGrid>
        <w:gridCol w:w="1210"/>
        <w:gridCol w:w="86"/>
        <w:gridCol w:w="2390"/>
        <w:gridCol w:w="2409"/>
        <w:gridCol w:w="2608"/>
      </w:tblGrid>
      <w:tr w:rsidR="002B20D8" w:rsidRPr="00F72A73" w14:paraId="62E7A5FA" w14:textId="77777777" w:rsidTr="006F35E4">
        <w:trPr>
          <w:trHeight w:val="239"/>
        </w:trPr>
        <w:tc>
          <w:tcPr>
            <w:tcW w:w="1296" w:type="dxa"/>
            <w:gridSpan w:val="2"/>
            <w:tcBorders>
              <w:top w:val="single" w:sz="18" w:space="0" w:color="08445E" w:themeColor="accent2"/>
              <w:left w:val="nil"/>
              <w:bottom w:val="single" w:sz="18" w:space="0" w:color="08445E" w:themeColor="accent2"/>
              <w:right w:val="nil"/>
            </w:tcBorders>
            <w:shd w:val="clear" w:color="auto" w:fill="E9E9EA"/>
            <w:tcMar>
              <w:top w:w="72" w:type="dxa"/>
              <w:left w:w="144" w:type="dxa"/>
              <w:bottom w:w="72" w:type="dxa"/>
              <w:right w:w="144" w:type="dxa"/>
            </w:tcMar>
            <w:vAlign w:val="center"/>
          </w:tcPr>
          <w:p w14:paraId="36953A70" w14:textId="77777777" w:rsidR="000E234E" w:rsidRPr="00F72A73" w:rsidRDefault="000E234E" w:rsidP="00FA3139">
            <w:pPr>
              <w:pStyle w:val="TableTitleInTable"/>
            </w:pPr>
          </w:p>
        </w:tc>
        <w:tc>
          <w:tcPr>
            <w:tcW w:w="2390" w:type="dxa"/>
            <w:tcBorders>
              <w:top w:val="single" w:sz="18" w:space="0" w:color="08445E" w:themeColor="accent2"/>
              <w:left w:val="nil"/>
              <w:bottom w:val="single" w:sz="18" w:space="0" w:color="08445E" w:themeColor="accent2"/>
              <w:right w:val="nil"/>
            </w:tcBorders>
            <w:shd w:val="clear" w:color="auto" w:fill="E9E9EA"/>
            <w:tcMar>
              <w:top w:w="72" w:type="dxa"/>
              <w:left w:w="144" w:type="dxa"/>
              <w:bottom w:w="72" w:type="dxa"/>
              <w:right w:w="144" w:type="dxa"/>
            </w:tcMar>
          </w:tcPr>
          <w:p w14:paraId="15EFB2F5" w14:textId="46D7F4E0" w:rsidR="000E234E" w:rsidRPr="00132E00" w:rsidRDefault="00F72CED" w:rsidP="00FA3139">
            <w:pPr>
              <w:pStyle w:val="TableTitleInTable"/>
              <w:jc w:val="center"/>
              <w:rPr>
                <w:color w:val="FF5000" w:themeColor="accent6"/>
              </w:rPr>
            </w:pPr>
            <w:r>
              <w:rPr>
                <w:color w:val="FF5000" w:themeColor="accent6"/>
              </w:rPr>
              <w:t xml:space="preserve">Local </w:t>
            </w:r>
            <w:r w:rsidR="000E234E">
              <w:rPr>
                <w:color w:val="FF5000" w:themeColor="accent6"/>
              </w:rPr>
              <w:t>Economic Role</w:t>
            </w:r>
          </w:p>
        </w:tc>
        <w:tc>
          <w:tcPr>
            <w:tcW w:w="2409" w:type="dxa"/>
            <w:tcBorders>
              <w:top w:val="single" w:sz="18" w:space="0" w:color="08445E" w:themeColor="accent2"/>
              <w:left w:val="nil"/>
              <w:bottom w:val="single" w:sz="18" w:space="0" w:color="08445E" w:themeColor="accent2"/>
              <w:right w:val="nil"/>
            </w:tcBorders>
            <w:shd w:val="clear" w:color="auto" w:fill="E9E9EA"/>
          </w:tcPr>
          <w:p w14:paraId="27B1136F" w14:textId="77777777" w:rsidR="000E234E" w:rsidRPr="00132E00" w:rsidRDefault="000E234E" w:rsidP="00FA3139">
            <w:pPr>
              <w:pStyle w:val="TableTitleInTable"/>
              <w:jc w:val="center"/>
              <w:rPr>
                <w:color w:val="FF5000" w:themeColor="accent6"/>
              </w:rPr>
            </w:pPr>
            <w:r>
              <w:rPr>
                <w:color w:val="FF5000" w:themeColor="accent6"/>
              </w:rPr>
              <w:t>Contribution to Purpose</w:t>
            </w:r>
          </w:p>
        </w:tc>
        <w:tc>
          <w:tcPr>
            <w:tcW w:w="2608" w:type="dxa"/>
            <w:tcBorders>
              <w:top w:val="single" w:sz="18" w:space="0" w:color="08445E" w:themeColor="accent2"/>
              <w:left w:val="nil"/>
              <w:bottom w:val="single" w:sz="18" w:space="0" w:color="08445E" w:themeColor="accent2"/>
              <w:right w:val="nil"/>
            </w:tcBorders>
            <w:shd w:val="clear" w:color="auto" w:fill="E9E9EA"/>
          </w:tcPr>
          <w:p w14:paraId="4F43462A" w14:textId="324B9397" w:rsidR="000E234E" w:rsidRDefault="009D3D92" w:rsidP="00FA3139">
            <w:pPr>
              <w:pStyle w:val="TableTitleInTable"/>
              <w:jc w:val="center"/>
              <w:rPr>
                <w:color w:val="FF5000" w:themeColor="accent6"/>
              </w:rPr>
            </w:pPr>
            <w:r>
              <w:rPr>
                <w:color w:val="FF5000" w:themeColor="accent6"/>
              </w:rPr>
              <w:t xml:space="preserve">Focal Points for </w:t>
            </w:r>
            <w:r w:rsidRPr="00CD0701">
              <w:rPr>
                <w:color w:val="FF5000" w:themeColor="accent6"/>
              </w:rPr>
              <w:t>Intervention</w:t>
            </w:r>
          </w:p>
        </w:tc>
      </w:tr>
      <w:tr w:rsidR="002B20D8" w:rsidRPr="00F72A73" w14:paraId="04B3C578" w14:textId="77777777" w:rsidTr="006F35E4">
        <w:trPr>
          <w:trHeight w:val="239"/>
        </w:trPr>
        <w:tc>
          <w:tcPr>
            <w:tcW w:w="1210" w:type="dxa"/>
            <w:tcBorders>
              <w:top w:val="single" w:sz="18" w:space="0" w:color="08445E" w:themeColor="accent2"/>
              <w:left w:val="nil"/>
              <w:bottom w:val="single" w:sz="8" w:space="0" w:color="FF5000" w:themeColor="accent6"/>
              <w:right w:val="nil"/>
            </w:tcBorders>
            <w:shd w:val="clear" w:color="auto" w:fill="E9E9EA"/>
            <w:tcMar>
              <w:top w:w="72" w:type="dxa"/>
              <w:left w:w="144" w:type="dxa"/>
              <w:bottom w:w="72" w:type="dxa"/>
              <w:right w:w="144" w:type="dxa"/>
            </w:tcMar>
            <w:vAlign w:val="center"/>
          </w:tcPr>
          <w:p w14:paraId="6BD75729" w14:textId="3E74F323" w:rsidR="000E234E" w:rsidRPr="001D5EB2" w:rsidRDefault="000E234E" w:rsidP="00FA3139">
            <w:pPr>
              <w:pStyle w:val="TableTitleInTable"/>
              <w:jc w:val="center"/>
              <w:rPr>
                <w:rFonts w:ascii="Source Sans Pro" w:eastAsia="Yu Gothic UI" w:hAnsi="Source Sans Pro"/>
                <w:b/>
                <w:bCs/>
                <w:color w:val="052D3F" w:themeColor="accent1"/>
                <w:sz w:val="20"/>
                <w:szCs w:val="44"/>
                <w:lang w:val="en-US"/>
              </w:rPr>
            </w:pPr>
            <w:r w:rsidRPr="001D5EB2">
              <w:rPr>
                <w:rFonts w:ascii="Source Sans Pro" w:eastAsia="Yu Gothic UI" w:hAnsi="Source Sans Pro"/>
                <w:b/>
                <w:bCs/>
                <w:color w:val="052D3F" w:themeColor="accent1"/>
                <w:sz w:val="20"/>
                <w:szCs w:val="44"/>
                <w:lang w:val="en-US"/>
              </w:rPr>
              <w:t>Canning Town</w:t>
            </w:r>
          </w:p>
        </w:tc>
        <w:tc>
          <w:tcPr>
            <w:tcW w:w="2476" w:type="dxa"/>
            <w:gridSpan w:val="2"/>
            <w:tcBorders>
              <w:top w:val="single" w:sz="18" w:space="0" w:color="08445E" w:themeColor="accent2"/>
              <w:left w:val="nil"/>
              <w:bottom w:val="single" w:sz="8" w:space="0" w:color="FF5000" w:themeColor="accent6"/>
              <w:right w:val="nil"/>
            </w:tcBorders>
            <w:shd w:val="clear" w:color="auto" w:fill="E9E9EA"/>
            <w:tcMar>
              <w:top w:w="72" w:type="dxa"/>
              <w:left w:w="144" w:type="dxa"/>
              <w:bottom w:w="72" w:type="dxa"/>
              <w:right w:w="144" w:type="dxa"/>
            </w:tcMar>
            <w:vAlign w:val="center"/>
          </w:tcPr>
          <w:p w14:paraId="3F37BCF3" w14:textId="27AF46FA" w:rsidR="000E234E" w:rsidRPr="00943655" w:rsidRDefault="003E4051" w:rsidP="00D131C8">
            <w:pPr>
              <w:pStyle w:val="TableBullet"/>
              <w:numPr>
                <w:ilvl w:val="0"/>
                <w:numId w:val="0"/>
              </w:numPr>
              <w:ind w:left="85"/>
              <w:rPr>
                <w:rFonts w:ascii="Source Sans Pro" w:eastAsia="Yu Gothic UI" w:hAnsi="Source Sans Pro"/>
                <w:color w:val="052D3F" w:themeColor="accent1"/>
                <w:sz w:val="16"/>
                <w:szCs w:val="16"/>
              </w:rPr>
            </w:pPr>
            <w:r w:rsidRPr="00943655">
              <w:rPr>
                <w:rFonts w:ascii="Source Sans Pro" w:hAnsi="Source Sans Pro"/>
                <w:color w:val="052D3F" w:themeColor="accent1"/>
                <w:sz w:val="16"/>
                <w:szCs w:val="16"/>
              </w:rPr>
              <w:t>Initial gateway to the Royal Docks</w:t>
            </w:r>
            <w:r w:rsidR="006C3551" w:rsidRPr="00943655">
              <w:rPr>
                <w:rFonts w:ascii="Source Sans Pro" w:hAnsi="Source Sans Pro"/>
                <w:color w:val="052D3F" w:themeColor="accent1"/>
                <w:sz w:val="16"/>
                <w:szCs w:val="16"/>
              </w:rPr>
              <w:t xml:space="preserve"> and important </w:t>
            </w:r>
            <w:r w:rsidRPr="00943655">
              <w:rPr>
                <w:rFonts w:ascii="Source Sans Pro" w:hAnsi="Source Sans Pro"/>
                <w:color w:val="052D3F" w:themeColor="accent1"/>
                <w:sz w:val="16"/>
                <w:szCs w:val="16"/>
              </w:rPr>
              <w:t>physical links to Newham Neighbourhoods.</w:t>
            </w:r>
            <w:r w:rsidR="00667348" w:rsidRPr="00943655">
              <w:rPr>
                <w:rFonts w:ascii="Source Sans Pro" w:hAnsi="Source Sans Pro"/>
                <w:color w:val="052D3F" w:themeColor="accent1"/>
                <w:sz w:val="16"/>
                <w:szCs w:val="16"/>
              </w:rPr>
              <w:t xml:space="preserve"> </w:t>
            </w:r>
            <w:r w:rsidR="00F72CED" w:rsidRPr="00943655">
              <w:rPr>
                <w:rFonts w:ascii="Source Sans Pro" w:hAnsi="Source Sans Pro"/>
                <w:color w:val="052D3F" w:themeColor="accent1"/>
                <w:sz w:val="16"/>
                <w:szCs w:val="16"/>
              </w:rPr>
              <w:t>A strengthened town centre fu</w:t>
            </w:r>
            <w:r w:rsidR="00337DCB" w:rsidRPr="00943655">
              <w:rPr>
                <w:rFonts w:ascii="Source Sans Pro" w:hAnsi="Source Sans Pro"/>
                <w:color w:val="052D3F" w:themeColor="accent1"/>
                <w:sz w:val="16"/>
                <w:szCs w:val="16"/>
              </w:rPr>
              <w:t>nction</w:t>
            </w:r>
            <w:r w:rsidR="00D5566F" w:rsidRPr="00943655">
              <w:rPr>
                <w:rFonts w:ascii="Source Sans Pro" w:hAnsi="Source Sans Pro"/>
                <w:color w:val="052D3F" w:themeColor="accent1"/>
                <w:sz w:val="16"/>
                <w:szCs w:val="16"/>
              </w:rPr>
              <w:t>.</w:t>
            </w:r>
          </w:p>
        </w:tc>
        <w:tc>
          <w:tcPr>
            <w:tcW w:w="2409" w:type="dxa"/>
            <w:tcBorders>
              <w:top w:val="single" w:sz="18" w:space="0" w:color="08445E" w:themeColor="accent2"/>
              <w:left w:val="nil"/>
              <w:bottom w:val="single" w:sz="8" w:space="0" w:color="FF5000" w:themeColor="accent6"/>
              <w:right w:val="nil"/>
            </w:tcBorders>
            <w:shd w:val="clear" w:color="auto" w:fill="E9E9EA"/>
            <w:vAlign w:val="center"/>
          </w:tcPr>
          <w:p w14:paraId="58589642" w14:textId="67D954C8" w:rsidR="000E234E" w:rsidRPr="00943655" w:rsidRDefault="00667348" w:rsidP="006D29FE">
            <w:pPr>
              <w:pStyle w:val="TableBullet"/>
              <w:numPr>
                <w:ilvl w:val="0"/>
                <w:numId w:val="0"/>
              </w:numPr>
              <w:ind w:left="85"/>
              <w:rPr>
                <w:rFonts w:ascii="Source Sans Pro" w:hAnsi="Source Sans Pro"/>
                <w:color w:val="052D3F" w:themeColor="accent1"/>
                <w:sz w:val="16"/>
                <w:szCs w:val="16"/>
              </w:rPr>
            </w:pPr>
            <w:r w:rsidRPr="00943655">
              <w:rPr>
                <w:rFonts w:ascii="Source Sans Pro" w:hAnsi="Source Sans Pro"/>
                <w:color w:val="052D3F" w:themeColor="accent1"/>
                <w:sz w:val="16"/>
                <w:szCs w:val="16"/>
              </w:rPr>
              <w:t xml:space="preserve">Ongoing </w:t>
            </w:r>
            <w:r w:rsidR="000A5976" w:rsidRPr="00943655">
              <w:rPr>
                <w:rFonts w:ascii="Source Sans Pro" w:hAnsi="Source Sans Pro"/>
                <w:color w:val="052D3F" w:themeColor="accent1"/>
                <w:sz w:val="16"/>
                <w:szCs w:val="16"/>
              </w:rPr>
              <w:t>investment providing</w:t>
            </w:r>
            <w:r w:rsidRPr="00943655">
              <w:rPr>
                <w:rFonts w:ascii="Source Sans Pro" w:hAnsi="Source Sans Pro"/>
                <w:color w:val="052D3F" w:themeColor="accent1"/>
                <w:sz w:val="16"/>
                <w:szCs w:val="16"/>
              </w:rPr>
              <w:t xml:space="preserve"> further opportunities to strengthen community and create economic and social opportunity.</w:t>
            </w:r>
            <w:r w:rsidR="00337DCB" w:rsidRPr="00943655">
              <w:rPr>
                <w:rFonts w:ascii="Source Sans Pro" w:hAnsi="Source Sans Pro"/>
                <w:color w:val="052D3F" w:themeColor="accent1"/>
                <w:sz w:val="16"/>
                <w:szCs w:val="16"/>
              </w:rPr>
              <w:t xml:space="preserve"> Important amenity centre for existing and new residents and businesses.</w:t>
            </w:r>
          </w:p>
        </w:tc>
        <w:tc>
          <w:tcPr>
            <w:tcW w:w="2608" w:type="dxa"/>
            <w:tcBorders>
              <w:top w:val="single" w:sz="18" w:space="0" w:color="08445E" w:themeColor="accent2"/>
              <w:left w:val="nil"/>
              <w:bottom w:val="single" w:sz="8" w:space="0" w:color="FF5000" w:themeColor="accent6"/>
              <w:right w:val="nil"/>
            </w:tcBorders>
            <w:shd w:val="clear" w:color="auto" w:fill="E9E9EA"/>
            <w:vAlign w:val="center"/>
          </w:tcPr>
          <w:p w14:paraId="32F6D263" w14:textId="0CECCA67" w:rsidR="0014197B" w:rsidRPr="00196EED" w:rsidRDefault="00943655" w:rsidP="00196EED">
            <w:pPr>
              <w:pStyle w:val="TableBullet"/>
              <w:ind w:left="198" w:hanging="170"/>
              <w:rPr>
                <w:rFonts w:ascii="Source Sans Pro" w:hAnsi="Source Sans Pro"/>
                <w:color w:val="052D3F" w:themeColor="accent1"/>
                <w:sz w:val="16"/>
                <w:szCs w:val="19"/>
              </w:rPr>
            </w:pPr>
            <w:r>
              <w:rPr>
                <w:rFonts w:ascii="Source Sans Pro" w:hAnsi="Source Sans Pro"/>
                <w:color w:val="052D3F" w:themeColor="accent1"/>
                <w:sz w:val="16"/>
                <w:szCs w:val="19"/>
              </w:rPr>
              <w:t>Focus on enhancing participation levels</w:t>
            </w:r>
          </w:p>
          <w:p w14:paraId="3DE341FB" w14:textId="1463417D" w:rsidR="00356E0A" w:rsidRPr="00196EED" w:rsidRDefault="0014197B" w:rsidP="00356E0A">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Ongoing improvement to town centre</w:t>
            </w:r>
            <w:r w:rsidR="00356E0A">
              <w:rPr>
                <w:rFonts w:ascii="Source Sans Pro" w:hAnsi="Source Sans Pro"/>
                <w:color w:val="052D3F" w:themeColor="accent1"/>
                <w:sz w:val="16"/>
                <w:szCs w:val="19"/>
              </w:rPr>
              <w:t xml:space="preserve"> including innovation in public sector asset strategy to diversify uses</w:t>
            </w:r>
          </w:p>
          <w:p w14:paraId="7BC9BCD7" w14:textId="77777777" w:rsidR="0014197B" w:rsidRPr="00196EED" w:rsidRDefault="0014197B"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Improve local amenity through citizen led actions</w:t>
            </w:r>
          </w:p>
          <w:p w14:paraId="598955F7" w14:textId="3B74F865" w:rsidR="000E234E" w:rsidRPr="00196EED" w:rsidRDefault="0014197B"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Feedback on industrial mixed use at Caxton Works</w:t>
            </w:r>
          </w:p>
        </w:tc>
      </w:tr>
      <w:tr w:rsidR="002B20D8" w:rsidRPr="00F72A73" w14:paraId="43F90F74" w14:textId="77777777" w:rsidTr="006F35E4">
        <w:trPr>
          <w:trHeight w:val="239"/>
        </w:trPr>
        <w:tc>
          <w:tcPr>
            <w:tcW w:w="1210"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7FAB2CCF" w14:textId="7006636E" w:rsidR="000E234E" w:rsidRPr="001D5EB2" w:rsidRDefault="000E234E" w:rsidP="00FA3139">
            <w:pPr>
              <w:pStyle w:val="TableTitleInTable"/>
              <w:jc w:val="center"/>
              <w:rPr>
                <w:rFonts w:ascii="Source Sans Pro" w:eastAsia="Yu Gothic UI" w:hAnsi="Source Sans Pro"/>
                <w:b/>
                <w:bCs/>
                <w:color w:val="052D3F" w:themeColor="accent1"/>
                <w:sz w:val="20"/>
                <w:szCs w:val="44"/>
                <w:lang w:val="en-US"/>
              </w:rPr>
            </w:pPr>
            <w:r w:rsidRPr="001D5EB2">
              <w:rPr>
                <w:rFonts w:ascii="Source Sans Pro" w:eastAsia="Yu Gothic UI" w:hAnsi="Source Sans Pro"/>
                <w:b/>
                <w:bCs/>
                <w:color w:val="052D3F" w:themeColor="accent1"/>
                <w:sz w:val="20"/>
                <w:szCs w:val="44"/>
                <w:lang w:val="en-US"/>
              </w:rPr>
              <w:t>Custom House</w:t>
            </w:r>
          </w:p>
        </w:tc>
        <w:tc>
          <w:tcPr>
            <w:tcW w:w="2476" w:type="dxa"/>
            <w:gridSpan w:val="2"/>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64E30572" w14:textId="6963D438" w:rsidR="000E234E" w:rsidRPr="00943655" w:rsidRDefault="003E4051" w:rsidP="00337DCB">
            <w:pPr>
              <w:pStyle w:val="TableBullet"/>
              <w:numPr>
                <w:ilvl w:val="0"/>
                <w:numId w:val="0"/>
              </w:numPr>
              <w:ind w:left="85"/>
              <w:rPr>
                <w:rFonts w:ascii="Source Sans Pro" w:eastAsia="Yu Gothic UI" w:hAnsi="Source Sans Pro"/>
                <w:color w:val="052D3F" w:themeColor="accent1"/>
                <w:sz w:val="16"/>
                <w:szCs w:val="16"/>
              </w:rPr>
            </w:pPr>
            <w:r w:rsidRPr="00943655">
              <w:rPr>
                <w:rFonts w:ascii="Source Sans Pro" w:eastAsia="Yu Gothic UI" w:hAnsi="Source Sans Pro"/>
                <w:color w:val="052D3F" w:themeColor="accent1"/>
                <w:sz w:val="16"/>
                <w:szCs w:val="16"/>
              </w:rPr>
              <w:t xml:space="preserve">Gateway to Excel and Royal Docks once Crossrail is operational. </w:t>
            </w:r>
            <w:r w:rsidR="00337DCB" w:rsidRPr="00943655">
              <w:rPr>
                <w:rFonts w:ascii="Source Sans Pro" w:eastAsia="Yu Gothic UI" w:hAnsi="Source Sans Pro"/>
                <w:color w:val="052D3F" w:themeColor="accent1"/>
                <w:sz w:val="16"/>
                <w:szCs w:val="16"/>
              </w:rPr>
              <w:t xml:space="preserve">Local </w:t>
            </w:r>
            <w:r w:rsidR="006D29FE" w:rsidRPr="00943655">
              <w:rPr>
                <w:rFonts w:ascii="Source Sans Pro" w:eastAsia="Yu Gothic UI" w:hAnsi="Source Sans Pro"/>
                <w:color w:val="052D3F" w:themeColor="accent1"/>
                <w:sz w:val="16"/>
                <w:szCs w:val="16"/>
              </w:rPr>
              <w:t>amenity hub with potential to draw greater benefit from proximity to Excel.</w:t>
            </w:r>
          </w:p>
        </w:tc>
        <w:tc>
          <w:tcPr>
            <w:tcW w:w="2409" w:type="dxa"/>
            <w:tcBorders>
              <w:top w:val="single" w:sz="8" w:space="0" w:color="FF5000" w:themeColor="accent6"/>
              <w:left w:val="nil"/>
              <w:bottom w:val="single" w:sz="8" w:space="0" w:color="FF5000" w:themeColor="accent6"/>
              <w:right w:val="nil"/>
            </w:tcBorders>
            <w:vAlign w:val="center"/>
          </w:tcPr>
          <w:p w14:paraId="7454D72E" w14:textId="6178A074" w:rsidR="000E234E" w:rsidRPr="00943655" w:rsidRDefault="008149F3" w:rsidP="008149F3">
            <w:pPr>
              <w:pStyle w:val="TableBullet"/>
              <w:numPr>
                <w:ilvl w:val="0"/>
                <w:numId w:val="0"/>
              </w:numPr>
              <w:ind w:left="85"/>
              <w:rPr>
                <w:rFonts w:ascii="Source Sans Pro" w:hAnsi="Source Sans Pro"/>
                <w:color w:val="052D3F" w:themeColor="accent1"/>
                <w:sz w:val="16"/>
                <w:szCs w:val="16"/>
              </w:rPr>
            </w:pPr>
            <w:r w:rsidRPr="00943655">
              <w:rPr>
                <w:rFonts w:ascii="Source Sans Pro" w:hAnsi="Source Sans Pro"/>
                <w:color w:val="052D3F" w:themeColor="accent1"/>
                <w:sz w:val="16"/>
                <w:szCs w:val="16"/>
              </w:rPr>
              <w:t>As with Canning Town, a focal point for activities to link Royal Docks opportunities to local residents. Opportunities to enhance the quality of the amenity offer for residents, visitors and businesses – along with local identity and environment</w:t>
            </w:r>
            <w:r w:rsidR="00C3429B" w:rsidRPr="00943655">
              <w:rPr>
                <w:rFonts w:ascii="Source Sans Pro" w:hAnsi="Source Sans Pro"/>
                <w:color w:val="052D3F" w:themeColor="accent1"/>
                <w:sz w:val="16"/>
                <w:szCs w:val="16"/>
              </w:rPr>
              <w:t xml:space="preserve"> as a key gateway.</w:t>
            </w:r>
          </w:p>
        </w:tc>
        <w:tc>
          <w:tcPr>
            <w:tcW w:w="2608" w:type="dxa"/>
            <w:tcBorders>
              <w:top w:val="single" w:sz="8" w:space="0" w:color="FF5000" w:themeColor="accent6"/>
              <w:left w:val="nil"/>
              <w:bottom w:val="single" w:sz="8" w:space="0" w:color="FF5000" w:themeColor="accent6"/>
              <w:right w:val="nil"/>
            </w:tcBorders>
            <w:vAlign w:val="center"/>
          </w:tcPr>
          <w:p w14:paraId="39CE3E10" w14:textId="464D7E15" w:rsidR="00C3429B" w:rsidRDefault="00540207"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 xml:space="preserve">Actions to enhance the quality of the local centre </w:t>
            </w:r>
          </w:p>
          <w:p w14:paraId="25EABA61" w14:textId="1607ABD4" w:rsidR="00356E0A" w:rsidRPr="00196EED" w:rsidRDefault="00356E0A" w:rsidP="00196EED">
            <w:pPr>
              <w:pStyle w:val="TableBullet"/>
              <w:ind w:left="198" w:hanging="170"/>
              <w:rPr>
                <w:rFonts w:ascii="Source Sans Pro" w:hAnsi="Source Sans Pro"/>
                <w:color w:val="052D3F" w:themeColor="accent1"/>
                <w:sz w:val="16"/>
                <w:szCs w:val="19"/>
              </w:rPr>
            </w:pPr>
            <w:r>
              <w:rPr>
                <w:rFonts w:ascii="Source Sans Pro" w:hAnsi="Source Sans Pro"/>
                <w:color w:val="052D3F" w:themeColor="accent1"/>
                <w:sz w:val="16"/>
                <w:szCs w:val="19"/>
              </w:rPr>
              <w:t>Innovation in public sector asset strategy to diversify uses</w:t>
            </w:r>
          </w:p>
          <w:p w14:paraId="75CFE7B5" w14:textId="5BBAE581" w:rsidR="000E234E" w:rsidRPr="00196EED" w:rsidRDefault="00C3429B"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Targeted outreach activities to</w:t>
            </w:r>
            <w:r w:rsidR="00540207" w:rsidRPr="00196EED">
              <w:rPr>
                <w:rFonts w:ascii="Source Sans Pro" w:hAnsi="Source Sans Pro"/>
                <w:color w:val="052D3F" w:themeColor="accent1"/>
                <w:sz w:val="16"/>
                <w:szCs w:val="19"/>
              </w:rPr>
              <w:t xml:space="preserve"> connect communities to emerging opportunities</w:t>
            </w:r>
            <w:r w:rsidR="00943655">
              <w:rPr>
                <w:rFonts w:ascii="Source Sans Pro" w:hAnsi="Source Sans Pro"/>
                <w:color w:val="052D3F" w:themeColor="accent1"/>
                <w:sz w:val="16"/>
                <w:szCs w:val="19"/>
              </w:rPr>
              <w:t xml:space="preserve"> and to enhance participation</w:t>
            </w:r>
          </w:p>
        </w:tc>
      </w:tr>
      <w:tr w:rsidR="002B20D8" w:rsidRPr="00F72A73" w14:paraId="55158B93" w14:textId="77777777" w:rsidTr="006F35E4">
        <w:trPr>
          <w:trHeight w:val="239"/>
        </w:trPr>
        <w:tc>
          <w:tcPr>
            <w:tcW w:w="1210" w:type="dxa"/>
            <w:tcBorders>
              <w:top w:val="single" w:sz="8" w:space="0" w:color="FF5000" w:themeColor="accent6"/>
              <w:left w:val="nil"/>
              <w:bottom w:val="single" w:sz="8" w:space="0" w:color="FF5000" w:themeColor="accent6"/>
              <w:right w:val="nil"/>
            </w:tcBorders>
            <w:shd w:val="clear" w:color="auto" w:fill="E9E9EA"/>
            <w:tcMar>
              <w:top w:w="72" w:type="dxa"/>
              <w:left w:w="144" w:type="dxa"/>
              <w:bottom w:w="72" w:type="dxa"/>
              <w:right w:w="144" w:type="dxa"/>
            </w:tcMar>
            <w:vAlign w:val="center"/>
          </w:tcPr>
          <w:p w14:paraId="44D2A2FE" w14:textId="4A011C22" w:rsidR="000E234E" w:rsidRPr="001D5EB2" w:rsidRDefault="000E234E" w:rsidP="00FA3139">
            <w:pPr>
              <w:pStyle w:val="TableTitleInTable"/>
              <w:jc w:val="center"/>
              <w:rPr>
                <w:rFonts w:ascii="Source Sans Pro" w:eastAsia="Yu Gothic UI" w:hAnsi="Source Sans Pro"/>
                <w:b/>
                <w:bCs/>
                <w:color w:val="052D3F" w:themeColor="accent1"/>
                <w:sz w:val="20"/>
                <w:szCs w:val="44"/>
                <w:lang w:val="en-US"/>
              </w:rPr>
            </w:pPr>
            <w:r w:rsidRPr="001D5EB2">
              <w:rPr>
                <w:rFonts w:ascii="Source Sans Pro" w:eastAsia="Yu Gothic UI" w:hAnsi="Source Sans Pro"/>
                <w:b/>
                <w:bCs/>
                <w:color w:val="052D3F" w:themeColor="accent1"/>
                <w:sz w:val="20"/>
                <w:szCs w:val="44"/>
                <w:lang w:val="en-US"/>
              </w:rPr>
              <w:t xml:space="preserve">North Woolwich </w:t>
            </w:r>
          </w:p>
        </w:tc>
        <w:tc>
          <w:tcPr>
            <w:tcW w:w="2476" w:type="dxa"/>
            <w:gridSpan w:val="2"/>
            <w:tcBorders>
              <w:top w:val="single" w:sz="8" w:space="0" w:color="FF5000" w:themeColor="accent6"/>
              <w:left w:val="nil"/>
              <w:bottom w:val="single" w:sz="8" w:space="0" w:color="FF5000" w:themeColor="accent6"/>
              <w:right w:val="nil"/>
            </w:tcBorders>
            <w:shd w:val="clear" w:color="auto" w:fill="E9E9EA"/>
            <w:tcMar>
              <w:top w:w="72" w:type="dxa"/>
              <w:left w:w="144" w:type="dxa"/>
              <w:bottom w:w="72" w:type="dxa"/>
              <w:right w:w="144" w:type="dxa"/>
            </w:tcMar>
            <w:vAlign w:val="center"/>
          </w:tcPr>
          <w:p w14:paraId="5FC3B98C" w14:textId="2B0E4DE5" w:rsidR="000E234E" w:rsidRPr="00943655" w:rsidRDefault="00D2119C" w:rsidP="00DD7851">
            <w:pPr>
              <w:pStyle w:val="TableBullet"/>
              <w:numPr>
                <w:ilvl w:val="0"/>
                <w:numId w:val="0"/>
              </w:numPr>
              <w:ind w:left="85"/>
              <w:rPr>
                <w:rFonts w:ascii="Source Sans Pro" w:eastAsia="Yu Gothic UI" w:hAnsi="Source Sans Pro"/>
                <w:color w:val="052D3F" w:themeColor="accent1"/>
                <w:sz w:val="16"/>
                <w:szCs w:val="16"/>
              </w:rPr>
            </w:pPr>
            <w:r w:rsidRPr="00943655">
              <w:rPr>
                <w:rFonts w:ascii="Source Sans Pro" w:eastAsia="Yu Gothic UI" w:hAnsi="Source Sans Pro"/>
                <w:color w:val="052D3F" w:themeColor="accent1"/>
                <w:sz w:val="16"/>
                <w:szCs w:val="16"/>
              </w:rPr>
              <w:t xml:space="preserve">An important residential hub and source of workforce and skills for the Royal Docks. </w:t>
            </w:r>
            <w:r w:rsidR="00BC1EB8" w:rsidRPr="00943655">
              <w:rPr>
                <w:rFonts w:ascii="Source Sans Pro" w:eastAsia="Yu Gothic UI" w:hAnsi="Source Sans Pro"/>
                <w:color w:val="052D3F" w:themeColor="accent1"/>
                <w:sz w:val="16"/>
                <w:szCs w:val="16"/>
              </w:rPr>
              <w:t>Gateway role for airport arrivals and role in providing local services and amenities for new and emerging communities.</w:t>
            </w:r>
          </w:p>
        </w:tc>
        <w:tc>
          <w:tcPr>
            <w:tcW w:w="2409" w:type="dxa"/>
            <w:tcBorders>
              <w:top w:val="single" w:sz="8" w:space="0" w:color="FF5000" w:themeColor="accent6"/>
              <w:left w:val="nil"/>
              <w:bottom w:val="single" w:sz="8" w:space="0" w:color="FF5000" w:themeColor="accent6"/>
              <w:right w:val="nil"/>
            </w:tcBorders>
            <w:shd w:val="clear" w:color="auto" w:fill="E9E9EA"/>
            <w:vAlign w:val="center"/>
          </w:tcPr>
          <w:p w14:paraId="72B21070" w14:textId="2A4AA7A1" w:rsidR="000E234E" w:rsidRPr="00943655" w:rsidRDefault="005811D4" w:rsidP="00DD7851">
            <w:pPr>
              <w:pStyle w:val="TableBullet"/>
              <w:numPr>
                <w:ilvl w:val="0"/>
                <w:numId w:val="0"/>
              </w:numPr>
              <w:ind w:left="85"/>
              <w:rPr>
                <w:rFonts w:ascii="Source Sans Pro" w:hAnsi="Source Sans Pro"/>
                <w:color w:val="052D3F" w:themeColor="accent1"/>
                <w:sz w:val="16"/>
                <w:szCs w:val="16"/>
                <w:highlight w:val="yellow"/>
              </w:rPr>
            </w:pPr>
            <w:r w:rsidRPr="00943655">
              <w:rPr>
                <w:rFonts w:ascii="Source Sans Pro" w:eastAsia="Yu Gothic UI" w:hAnsi="Source Sans Pro"/>
                <w:color w:val="052D3F" w:themeColor="accent1"/>
                <w:sz w:val="16"/>
                <w:szCs w:val="16"/>
              </w:rPr>
              <w:t xml:space="preserve">Focal point for activities to connect communities </w:t>
            </w:r>
            <w:r w:rsidR="00DD7851" w:rsidRPr="00943655">
              <w:rPr>
                <w:rFonts w:ascii="Source Sans Pro" w:eastAsia="Yu Gothic UI" w:hAnsi="Source Sans Pro"/>
                <w:color w:val="052D3F" w:themeColor="accent1"/>
                <w:sz w:val="16"/>
                <w:szCs w:val="16"/>
              </w:rPr>
              <w:t xml:space="preserve">to </w:t>
            </w:r>
            <w:r w:rsidR="00D2119C" w:rsidRPr="00943655">
              <w:rPr>
                <w:rFonts w:ascii="Source Sans Pro" w:eastAsia="Yu Gothic UI" w:hAnsi="Source Sans Pro"/>
                <w:color w:val="052D3F" w:themeColor="accent1"/>
                <w:sz w:val="16"/>
                <w:szCs w:val="16"/>
              </w:rPr>
              <w:t>emerging opportunities a</w:t>
            </w:r>
            <w:r w:rsidRPr="00943655">
              <w:rPr>
                <w:rFonts w:ascii="Source Sans Pro" w:eastAsia="Yu Gothic UI" w:hAnsi="Source Sans Pro"/>
                <w:color w:val="052D3F" w:themeColor="accent1"/>
                <w:sz w:val="16"/>
                <w:szCs w:val="16"/>
              </w:rPr>
              <w:t>nd</w:t>
            </w:r>
            <w:r w:rsidR="00D2119C" w:rsidRPr="00943655">
              <w:rPr>
                <w:rFonts w:ascii="Source Sans Pro" w:eastAsia="Yu Gothic UI" w:hAnsi="Source Sans Pro"/>
                <w:color w:val="052D3F" w:themeColor="accent1"/>
                <w:sz w:val="16"/>
                <w:szCs w:val="16"/>
              </w:rPr>
              <w:t xml:space="preserve"> enhance physical and social connections</w:t>
            </w:r>
            <w:r w:rsidRPr="00943655">
              <w:rPr>
                <w:rFonts w:ascii="Source Sans Pro" w:eastAsia="Yu Gothic UI" w:hAnsi="Source Sans Pro"/>
                <w:color w:val="052D3F" w:themeColor="accent1"/>
                <w:sz w:val="16"/>
                <w:szCs w:val="16"/>
              </w:rPr>
              <w:t xml:space="preserve"> to lesson sense of isolation and peripherality</w:t>
            </w:r>
            <w:r w:rsidR="00DD7851" w:rsidRPr="00943655">
              <w:rPr>
                <w:rFonts w:ascii="Source Sans Pro" w:eastAsia="Yu Gothic UI" w:hAnsi="Source Sans Pro"/>
                <w:color w:val="052D3F" w:themeColor="accent1"/>
                <w:sz w:val="16"/>
                <w:szCs w:val="16"/>
              </w:rPr>
              <w:t>.</w:t>
            </w:r>
          </w:p>
        </w:tc>
        <w:tc>
          <w:tcPr>
            <w:tcW w:w="2608" w:type="dxa"/>
            <w:tcBorders>
              <w:top w:val="single" w:sz="8" w:space="0" w:color="FF5000" w:themeColor="accent6"/>
              <w:left w:val="nil"/>
              <w:bottom w:val="single" w:sz="8" w:space="0" w:color="FF5000" w:themeColor="accent6"/>
              <w:right w:val="nil"/>
            </w:tcBorders>
            <w:shd w:val="clear" w:color="auto" w:fill="E9E9EA"/>
            <w:vAlign w:val="center"/>
          </w:tcPr>
          <w:p w14:paraId="760B8B32" w14:textId="200CF2CA" w:rsidR="00F44E62" w:rsidRPr="00196EED" w:rsidRDefault="00AB1C6E" w:rsidP="00196EED">
            <w:pPr>
              <w:pStyle w:val="TableBullet"/>
              <w:ind w:left="198" w:hanging="170"/>
              <w:rPr>
                <w:rFonts w:ascii="Source Sans Pro" w:hAnsi="Source Sans Pro"/>
                <w:color w:val="052D3F" w:themeColor="accent1"/>
                <w:sz w:val="16"/>
                <w:szCs w:val="19"/>
              </w:rPr>
            </w:pPr>
            <w:r>
              <w:rPr>
                <w:rFonts w:ascii="Source Sans Pro" w:hAnsi="Source Sans Pro"/>
                <w:color w:val="052D3F" w:themeColor="accent1"/>
                <w:sz w:val="16"/>
                <w:szCs w:val="19"/>
              </w:rPr>
              <w:t>Targeted outreach</w:t>
            </w:r>
            <w:r w:rsidR="00BC1EB8" w:rsidRPr="00196EED">
              <w:rPr>
                <w:rFonts w:ascii="Source Sans Pro" w:hAnsi="Source Sans Pro"/>
                <w:color w:val="052D3F" w:themeColor="accent1"/>
                <w:sz w:val="16"/>
                <w:szCs w:val="19"/>
              </w:rPr>
              <w:t xml:space="preserve"> to enhance</w:t>
            </w:r>
            <w:r w:rsidR="00F44E62" w:rsidRPr="00196EED">
              <w:rPr>
                <w:rFonts w:ascii="Source Sans Pro" w:hAnsi="Source Sans Pro"/>
                <w:color w:val="052D3F" w:themeColor="accent1"/>
                <w:sz w:val="16"/>
                <w:szCs w:val="19"/>
              </w:rPr>
              <w:t xml:space="preserve"> social capital and participation </w:t>
            </w:r>
          </w:p>
          <w:p w14:paraId="33E7F713" w14:textId="77777777" w:rsidR="00F44E62" w:rsidRPr="00196EED" w:rsidRDefault="00F44E62"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Improvements in North Woolwich Road environment</w:t>
            </w:r>
          </w:p>
          <w:p w14:paraId="342D9E10" w14:textId="7B04743C" w:rsidR="000E234E" w:rsidRPr="00196EED" w:rsidRDefault="00104BE7" w:rsidP="00196EED">
            <w:pPr>
              <w:pStyle w:val="TableBullet"/>
              <w:ind w:left="198" w:hanging="170"/>
              <w:rPr>
                <w:rFonts w:ascii="Source Sans Pro" w:hAnsi="Source Sans Pro"/>
                <w:color w:val="052D3F" w:themeColor="accent1"/>
                <w:sz w:val="16"/>
                <w:szCs w:val="19"/>
              </w:rPr>
            </w:pPr>
            <w:r>
              <w:rPr>
                <w:rFonts w:ascii="Source Sans Pro" w:hAnsi="Source Sans Pro"/>
                <w:color w:val="052D3F" w:themeColor="accent1"/>
                <w:sz w:val="16"/>
                <w:szCs w:val="19"/>
              </w:rPr>
              <w:t>Community focused transport initiatives to connect residents</w:t>
            </w:r>
          </w:p>
        </w:tc>
      </w:tr>
      <w:tr w:rsidR="002B20D8" w:rsidRPr="00F72A73" w14:paraId="1B8C012C" w14:textId="77777777" w:rsidTr="006F35E4">
        <w:trPr>
          <w:trHeight w:val="239"/>
        </w:trPr>
        <w:tc>
          <w:tcPr>
            <w:tcW w:w="1210" w:type="dxa"/>
            <w:tcBorders>
              <w:top w:val="single" w:sz="8" w:space="0" w:color="FF5000" w:themeColor="accent6"/>
              <w:left w:val="nil"/>
              <w:bottom w:val="single" w:sz="18" w:space="0" w:color="08445E"/>
              <w:right w:val="nil"/>
            </w:tcBorders>
            <w:shd w:val="clear" w:color="auto" w:fill="auto"/>
            <w:tcMar>
              <w:top w:w="72" w:type="dxa"/>
              <w:left w:w="144" w:type="dxa"/>
              <w:bottom w:w="72" w:type="dxa"/>
              <w:right w:w="144" w:type="dxa"/>
            </w:tcMar>
            <w:vAlign w:val="center"/>
          </w:tcPr>
          <w:p w14:paraId="36987659" w14:textId="3C89A60F" w:rsidR="000E234E" w:rsidRPr="001D5EB2" w:rsidRDefault="000E234E" w:rsidP="00FA3139">
            <w:pPr>
              <w:pStyle w:val="TableTitleInTable"/>
              <w:jc w:val="center"/>
              <w:rPr>
                <w:rFonts w:ascii="Source Sans Pro" w:eastAsia="Yu Gothic UI" w:hAnsi="Source Sans Pro"/>
                <w:b/>
                <w:bCs/>
                <w:color w:val="052D3F" w:themeColor="accent1"/>
                <w:sz w:val="20"/>
                <w:szCs w:val="44"/>
                <w:lang w:val="en-US"/>
              </w:rPr>
            </w:pPr>
            <w:r w:rsidRPr="001D5EB2">
              <w:rPr>
                <w:rFonts w:ascii="Source Sans Pro" w:eastAsia="Yu Gothic UI" w:hAnsi="Source Sans Pro"/>
                <w:b/>
                <w:bCs/>
                <w:color w:val="052D3F" w:themeColor="accent1"/>
                <w:sz w:val="20"/>
                <w:szCs w:val="44"/>
                <w:lang w:val="en-US"/>
              </w:rPr>
              <w:t>Beckton</w:t>
            </w:r>
          </w:p>
        </w:tc>
        <w:tc>
          <w:tcPr>
            <w:tcW w:w="2476" w:type="dxa"/>
            <w:gridSpan w:val="2"/>
            <w:tcBorders>
              <w:top w:val="single" w:sz="8" w:space="0" w:color="FF5000" w:themeColor="accent6"/>
              <w:left w:val="nil"/>
              <w:bottom w:val="single" w:sz="18" w:space="0" w:color="08445E"/>
              <w:right w:val="nil"/>
            </w:tcBorders>
            <w:shd w:val="clear" w:color="auto" w:fill="FFFFFF"/>
            <w:tcMar>
              <w:top w:w="72" w:type="dxa"/>
              <w:left w:w="144" w:type="dxa"/>
              <w:bottom w:w="72" w:type="dxa"/>
              <w:right w:w="144" w:type="dxa"/>
            </w:tcMar>
            <w:vAlign w:val="center"/>
          </w:tcPr>
          <w:p w14:paraId="1200F60C" w14:textId="52092B7B" w:rsidR="000E234E" w:rsidRPr="00943655" w:rsidRDefault="003E4051" w:rsidP="001E7966">
            <w:pPr>
              <w:pStyle w:val="TableBullet"/>
              <w:numPr>
                <w:ilvl w:val="0"/>
                <w:numId w:val="0"/>
              </w:numPr>
              <w:ind w:left="85"/>
              <w:rPr>
                <w:rFonts w:ascii="Source Sans Pro" w:eastAsia="Yu Gothic UI" w:hAnsi="Source Sans Pro"/>
                <w:color w:val="052D3F" w:themeColor="accent1"/>
                <w:sz w:val="16"/>
                <w:szCs w:val="16"/>
              </w:rPr>
            </w:pPr>
            <w:r w:rsidRPr="00943655">
              <w:rPr>
                <w:rFonts w:ascii="Source Sans Pro" w:eastAsia="Yu Gothic UI" w:hAnsi="Source Sans Pro"/>
                <w:color w:val="052D3F" w:themeColor="accent1"/>
                <w:sz w:val="16"/>
                <w:szCs w:val="16"/>
              </w:rPr>
              <w:t>Reinvention as a more modern industrial location, capitalising upon growing need and demand within the city</w:t>
            </w:r>
            <w:r w:rsidR="001E7966" w:rsidRPr="00943655">
              <w:rPr>
                <w:rFonts w:ascii="Source Sans Pro" w:eastAsia="Yu Gothic UI" w:hAnsi="Source Sans Pro"/>
                <w:color w:val="052D3F" w:themeColor="accent1"/>
                <w:sz w:val="16"/>
                <w:szCs w:val="16"/>
              </w:rPr>
              <w:t xml:space="preserve">. New town centre </w:t>
            </w:r>
            <w:r w:rsidR="006F35E4" w:rsidRPr="00943655">
              <w:rPr>
                <w:rFonts w:ascii="Source Sans Pro" w:eastAsia="Yu Gothic UI" w:hAnsi="Source Sans Pro"/>
                <w:color w:val="052D3F" w:themeColor="accent1"/>
                <w:sz w:val="16"/>
                <w:szCs w:val="16"/>
              </w:rPr>
              <w:t xml:space="preserve">serving the demand across  the northern side of the Royal Docks. </w:t>
            </w:r>
          </w:p>
        </w:tc>
        <w:tc>
          <w:tcPr>
            <w:tcW w:w="2409" w:type="dxa"/>
            <w:tcBorders>
              <w:top w:val="single" w:sz="8" w:space="0" w:color="FF5000" w:themeColor="accent6"/>
              <w:left w:val="nil"/>
              <w:bottom w:val="single" w:sz="18" w:space="0" w:color="08445E"/>
              <w:right w:val="nil"/>
            </w:tcBorders>
            <w:shd w:val="clear" w:color="auto" w:fill="FFFFFF"/>
            <w:vAlign w:val="center"/>
          </w:tcPr>
          <w:p w14:paraId="49EBE94D" w14:textId="14313B35" w:rsidR="000E234E" w:rsidRPr="00943655" w:rsidRDefault="00587310" w:rsidP="00077DF2">
            <w:pPr>
              <w:pStyle w:val="TableBullet"/>
              <w:numPr>
                <w:ilvl w:val="0"/>
                <w:numId w:val="0"/>
              </w:numPr>
              <w:ind w:left="85"/>
              <w:rPr>
                <w:rFonts w:ascii="Source Sans Pro" w:hAnsi="Source Sans Pro"/>
                <w:color w:val="052D3F" w:themeColor="accent1"/>
                <w:sz w:val="16"/>
                <w:szCs w:val="16"/>
              </w:rPr>
            </w:pPr>
            <w:r w:rsidRPr="00943655">
              <w:rPr>
                <w:rFonts w:ascii="Source Sans Pro" w:hAnsi="Source Sans Pro"/>
                <w:color w:val="052D3F" w:themeColor="accent1"/>
                <w:sz w:val="16"/>
                <w:szCs w:val="16"/>
              </w:rPr>
              <w:t xml:space="preserve">Potential significant </w:t>
            </w:r>
            <w:r w:rsidR="006F35E4" w:rsidRPr="00943655">
              <w:rPr>
                <w:rFonts w:ascii="Source Sans Pro" w:hAnsi="Source Sans Pro"/>
                <w:color w:val="052D3F" w:themeColor="accent1"/>
                <w:sz w:val="16"/>
                <w:szCs w:val="16"/>
              </w:rPr>
              <w:t>hub of employment with</w:t>
            </w:r>
            <w:r w:rsidRPr="00943655">
              <w:rPr>
                <w:rFonts w:ascii="Source Sans Pro" w:hAnsi="Source Sans Pro"/>
                <w:color w:val="052D3F" w:themeColor="accent1"/>
                <w:sz w:val="16"/>
                <w:szCs w:val="16"/>
              </w:rPr>
              <w:t>in the wider OAPF area</w:t>
            </w:r>
            <w:r w:rsidR="006F35E4" w:rsidRPr="00943655">
              <w:rPr>
                <w:rFonts w:ascii="Source Sans Pro" w:hAnsi="Source Sans Pro"/>
                <w:color w:val="052D3F" w:themeColor="accent1"/>
                <w:sz w:val="16"/>
                <w:szCs w:val="16"/>
              </w:rPr>
              <w:t xml:space="preserve"> and providing much needed industrial capacity for London. Reinforcing the scale and quality of the amenity offer for local residents and employers.</w:t>
            </w:r>
          </w:p>
        </w:tc>
        <w:tc>
          <w:tcPr>
            <w:tcW w:w="2608" w:type="dxa"/>
            <w:tcBorders>
              <w:top w:val="single" w:sz="8" w:space="0" w:color="FF5000" w:themeColor="accent6"/>
              <w:left w:val="nil"/>
              <w:bottom w:val="single" w:sz="18" w:space="0" w:color="08445E"/>
              <w:right w:val="nil"/>
            </w:tcBorders>
            <w:shd w:val="clear" w:color="auto" w:fill="FFFFFF"/>
            <w:vAlign w:val="center"/>
          </w:tcPr>
          <w:p w14:paraId="1F985D3B" w14:textId="77777777" w:rsidR="000E234E" w:rsidRPr="00196EED" w:rsidRDefault="00F44E62"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Masterplan wider industrial area</w:t>
            </w:r>
          </w:p>
          <w:p w14:paraId="7A61F8A0" w14:textId="458B09ED" w:rsidR="006F35E4" w:rsidRPr="00196EED" w:rsidRDefault="006F35E4"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 xml:space="preserve">Further work to scope and define the scale and nature of the town centre – bearing in mind the evolving </w:t>
            </w:r>
            <w:r w:rsidR="003F7F0A" w:rsidRPr="00196EED">
              <w:rPr>
                <w:rFonts w:ascii="Source Sans Pro" w:hAnsi="Source Sans Pro"/>
                <w:color w:val="052D3F" w:themeColor="accent1"/>
                <w:sz w:val="16"/>
                <w:szCs w:val="19"/>
              </w:rPr>
              <w:t xml:space="preserve">nature of high streets across London. </w:t>
            </w:r>
          </w:p>
        </w:tc>
      </w:tr>
    </w:tbl>
    <w:p w14:paraId="3B4EC430" w14:textId="77777777" w:rsidR="0088770F" w:rsidRDefault="0088770F" w:rsidP="004C1BB4">
      <w:pPr>
        <w:pStyle w:val="RDTier2"/>
      </w:pPr>
      <w:r>
        <w:br w:type="page"/>
      </w:r>
    </w:p>
    <w:p w14:paraId="3CEDB5DF" w14:textId="43FD633E" w:rsidR="004C1BB4" w:rsidRDefault="004C1BB4" w:rsidP="0056155D">
      <w:pPr>
        <w:pStyle w:val="RDTier2"/>
        <w:numPr>
          <w:ilvl w:val="0"/>
          <w:numId w:val="32"/>
        </w:numPr>
      </w:pPr>
      <w:r>
        <w:lastRenderedPageBreak/>
        <w:t>City Assets</w:t>
      </w:r>
      <w:r w:rsidR="00F66E03">
        <w:t xml:space="preserve"> and Local Anchors</w:t>
      </w:r>
    </w:p>
    <w:p w14:paraId="45450850" w14:textId="2D695A84" w:rsidR="0010354E" w:rsidRDefault="00B026E8" w:rsidP="0010354E">
      <w:pPr>
        <w:pStyle w:val="RDParagraph"/>
      </w:pPr>
      <w:r>
        <w:t>These are the e</w:t>
      </w:r>
      <w:r w:rsidR="0010354E" w:rsidRPr="0010354E">
        <w:t>xisting</w:t>
      </w:r>
      <w:r>
        <w:t xml:space="preserve"> </w:t>
      </w:r>
      <w:r w:rsidR="00352B9C">
        <w:t>‘city’ assets and local</w:t>
      </w:r>
      <w:r w:rsidR="0010354E" w:rsidRPr="0010354E">
        <w:t xml:space="preserve"> anchors which</w:t>
      </w:r>
      <w:r>
        <w:t xml:space="preserve"> already</w:t>
      </w:r>
      <w:r w:rsidR="0010354E" w:rsidRPr="0010354E">
        <w:t xml:space="preserve"> underpin the</w:t>
      </w:r>
      <w:r>
        <w:t xml:space="preserve"> Royal</w:t>
      </w:r>
      <w:r w:rsidR="0010354E" w:rsidRPr="0010354E">
        <w:t xml:space="preserve"> Docks’ identity, economic role and global links. </w:t>
      </w:r>
      <w:r>
        <w:t xml:space="preserve">In the </w:t>
      </w:r>
      <w:r w:rsidR="00352B9C">
        <w:t>case of the ‘city</w:t>
      </w:r>
      <w:r w:rsidR="00BF502F">
        <w:t>’</w:t>
      </w:r>
      <w:r w:rsidR="00352B9C">
        <w:t xml:space="preserve"> assets they are also play a </w:t>
      </w:r>
      <w:r w:rsidR="0010354E" w:rsidRPr="0010354E">
        <w:t xml:space="preserve">crucial </w:t>
      </w:r>
      <w:r w:rsidR="00352B9C">
        <w:t>in</w:t>
      </w:r>
      <w:r w:rsidR="0010354E" w:rsidRPr="0010354E">
        <w:t xml:space="preserve"> London</w:t>
      </w:r>
      <w:r w:rsidR="00352B9C">
        <w:t>’s overall</w:t>
      </w:r>
      <w:r w:rsidR="0010354E" w:rsidRPr="0010354E">
        <w:t xml:space="preserve"> competitiveness.</w:t>
      </w:r>
    </w:p>
    <w:p w14:paraId="352CD62F" w14:textId="26746D5B" w:rsidR="0096645A" w:rsidRPr="0010354E" w:rsidRDefault="006A37CE" w:rsidP="0010354E">
      <w:pPr>
        <w:pStyle w:val="RDParagraph"/>
        <w:rPr>
          <w:lang w:val="en-US"/>
        </w:rPr>
      </w:pPr>
      <w:r>
        <w:t>For now, the list of asset</w:t>
      </w:r>
      <w:r w:rsidR="00BF502F">
        <w:t>s</w:t>
      </w:r>
      <w:r>
        <w:t xml:space="preserve"> focuses on those which are already established in the area; over time though the list will grow – for example the expected role of the forthcoming London Institute of Transport Technology at Albert Island in providing skills for the future</w:t>
      </w:r>
      <w:r w:rsidR="008E14A1">
        <w:t>:</w:t>
      </w:r>
      <w:r>
        <w:t xml:space="preserve"> </w:t>
      </w:r>
    </w:p>
    <w:p w14:paraId="0120A769" w14:textId="6F52ED67" w:rsidR="00DD2B7B" w:rsidRPr="00DD2B7B" w:rsidRDefault="0010354E" w:rsidP="003C64B6">
      <w:pPr>
        <w:pStyle w:val="RDBullet"/>
        <w:rPr>
          <w:lang w:val="en-US"/>
        </w:rPr>
      </w:pPr>
      <w:r w:rsidRPr="00DD2B7B">
        <w:rPr>
          <w:b/>
        </w:rPr>
        <w:t xml:space="preserve">Contribution to </w:t>
      </w:r>
      <w:r w:rsidR="003C64B6" w:rsidRPr="00DD2B7B">
        <w:rPr>
          <w:b/>
        </w:rPr>
        <w:t>E</w:t>
      </w:r>
      <w:r w:rsidRPr="00DD2B7B">
        <w:rPr>
          <w:b/>
        </w:rPr>
        <w:t xml:space="preserve">conomic </w:t>
      </w:r>
      <w:r w:rsidR="003C64B6" w:rsidRPr="00DD2B7B">
        <w:rPr>
          <w:b/>
        </w:rPr>
        <w:t>F</w:t>
      </w:r>
      <w:r w:rsidRPr="00DD2B7B">
        <w:rPr>
          <w:b/>
        </w:rPr>
        <w:t>unction</w:t>
      </w:r>
      <w:r w:rsidR="00312995">
        <w:rPr>
          <w:b/>
        </w:rPr>
        <w:t>:</w:t>
      </w:r>
      <w:r w:rsidRPr="00DD2B7B">
        <w:rPr>
          <w:b/>
        </w:rPr>
        <w:t xml:space="preserve"> </w:t>
      </w:r>
      <w:r w:rsidR="000D3B40" w:rsidRPr="00DD2B7B">
        <w:t>Important deliver</w:t>
      </w:r>
      <w:r w:rsidR="00312995">
        <w:t>y</w:t>
      </w:r>
      <w:r w:rsidR="000D3B40" w:rsidRPr="00DD2B7B">
        <w:t xml:space="preserve"> partners in helping to </w:t>
      </w:r>
      <w:r w:rsidRPr="00DD2B7B">
        <w:t>shape the vison</w:t>
      </w:r>
      <w:r w:rsidR="000D3B40" w:rsidRPr="00DD2B7B">
        <w:t xml:space="preserve"> and in </w:t>
      </w:r>
      <w:r w:rsidR="00A00FAC" w:rsidRPr="00DD2B7B">
        <w:t>the delivery of investment (not least via own land assets)</w:t>
      </w:r>
      <w:r w:rsidRPr="00DD2B7B">
        <w:t xml:space="preserve">; </w:t>
      </w:r>
      <w:r w:rsidR="00A00FAC" w:rsidRPr="00DD2B7B">
        <w:t xml:space="preserve">a </w:t>
      </w:r>
      <w:r w:rsidRPr="00DD2B7B">
        <w:t xml:space="preserve">direct role in </w:t>
      </w:r>
      <w:r w:rsidR="00A00FAC" w:rsidRPr="00DD2B7B">
        <w:t>the delivery of community wealth building objectives</w:t>
      </w:r>
      <w:r w:rsidRPr="00DD2B7B">
        <w:t xml:space="preserve"> </w:t>
      </w:r>
      <w:r w:rsidR="00DD2B7B" w:rsidRPr="00DD2B7B">
        <w:t xml:space="preserve">showing leadership in local employment, training and supply chains; advocates in promoting the area. </w:t>
      </w:r>
    </w:p>
    <w:p w14:paraId="428A3F1C" w14:textId="204ADB14" w:rsidR="003C64B6" w:rsidRPr="0062336E" w:rsidRDefault="003C64B6" w:rsidP="003C64B6">
      <w:pPr>
        <w:pStyle w:val="RDBullet"/>
        <w:rPr>
          <w:lang w:val="en-US"/>
        </w:rPr>
      </w:pPr>
      <w:r w:rsidRPr="0062336E">
        <w:rPr>
          <w:b/>
        </w:rPr>
        <w:t>Focal Point</w:t>
      </w:r>
      <w:r w:rsidR="00793A53" w:rsidRPr="0062336E">
        <w:rPr>
          <w:b/>
        </w:rPr>
        <w:t>s for Intervention:</w:t>
      </w:r>
      <w:r w:rsidR="00F6600A" w:rsidRPr="0062336E">
        <w:rPr>
          <w:b/>
        </w:rPr>
        <w:t xml:space="preserve"> </w:t>
      </w:r>
      <w:r w:rsidR="004E04EB" w:rsidRPr="0062336E">
        <w:t>joint masterplanning activities where development opportunities exist; delivery partners in Workplace 2.0</w:t>
      </w:r>
      <w:r w:rsidR="005515D9" w:rsidRPr="0062336E">
        <w:t xml:space="preserve">; focal </w:t>
      </w:r>
      <w:r w:rsidR="00312995">
        <w:t xml:space="preserve">points for </w:t>
      </w:r>
      <w:r w:rsidR="005515D9" w:rsidRPr="0062336E">
        <w:t xml:space="preserve">and leaders in business networks; </w:t>
      </w:r>
      <w:r w:rsidR="004E04EB" w:rsidRPr="0062336E">
        <w:rPr>
          <w:b/>
        </w:rPr>
        <w:t xml:space="preserve"> </w:t>
      </w:r>
      <w:r w:rsidR="001F540D" w:rsidRPr="0062336E">
        <w:t>use of joint resource and networks to promote the area globally.</w:t>
      </w:r>
    </w:p>
    <w:p w14:paraId="69F22BF7" w14:textId="42C52E16" w:rsidR="00F66E03" w:rsidRPr="0062755C" w:rsidRDefault="00F66E03" w:rsidP="00F66E03">
      <w:pPr>
        <w:spacing w:after="0"/>
        <w:ind w:firstLine="680"/>
        <w:rPr>
          <w:i/>
        </w:rPr>
      </w:pPr>
      <w:r w:rsidRPr="0062755C">
        <w:rPr>
          <w:rFonts w:ascii="Source Sans Pro" w:hAnsi="Source Sans Pro"/>
          <w:b/>
          <w:i/>
          <w:color w:val="052D3F"/>
          <w:sz w:val="20"/>
        </w:rPr>
        <w:t xml:space="preserve">Figure </w:t>
      </w:r>
      <w:r>
        <w:rPr>
          <w:rFonts w:ascii="Source Sans Pro" w:hAnsi="Source Sans Pro"/>
          <w:b/>
          <w:i/>
          <w:color w:val="052D3F"/>
          <w:sz w:val="20"/>
        </w:rPr>
        <w:t>5</w:t>
      </w:r>
      <w:r w:rsidRPr="0062755C">
        <w:rPr>
          <w:rFonts w:ascii="Source Sans Pro" w:hAnsi="Source Sans Pro"/>
          <w:b/>
          <w:i/>
          <w:color w:val="052D3F"/>
          <w:sz w:val="20"/>
        </w:rPr>
        <w:t>.</w:t>
      </w:r>
      <w:r w:rsidR="0064402B">
        <w:rPr>
          <w:rFonts w:ascii="Source Sans Pro" w:hAnsi="Source Sans Pro"/>
          <w:b/>
          <w:i/>
          <w:color w:val="052D3F"/>
          <w:sz w:val="20"/>
        </w:rPr>
        <w:t>3</w:t>
      </w:r>
      <w:r w:rsidRPr="0062755C">
        <w:rPr>
          <w:rFonts w:ascii="Source Sans Pro" w:hAnsi="Source Sans Pro"/>
          <w:b/>
          <w:i/>
          <w:color w:val="052D3F"/>
          <w:sz w:val="20"/>
        </w:rPr>
        <w:t xml:space="preserve">. </w:t>
      </w:r>
      <w:r>
        <w:rPr>
          <w:rFonts w:ascii="Source Sans Pro" w:hAnsi="Source Sans Pro"/>
          <w:b/>
          <w:i/>
          <w:color w:val="052D3F"/>
          <w:sz w:val="20"/>
        </w:rPr>
        <w:t>City and Local Anchors– Economic Role and Focus</w:t>
      </w:r>
    </w:p>
    <w:tbl>
      <w:tblPr>
        <w:tblW w:w="8703" w:type="dxa"/>
        <w:tblInd w:w="709" w:type="dxa"/>
        <w:tblLayout w:type="fixed"/>
        <w:tblCellMar>
          <w:left w:w="0" w:type="dxa"/>
          <w:right w:w="0" w:type="dxa"/>
        </w:tblCellMar>
        <w:tblLook w:val="0420" w:firstRow="1" w:lastRow="0" w:firstColumn="0" w:lastColumn="0" w:noHBand="0" w:noVBand="1"/>
      </w:tblPr>
      <w:tblGrid>
        <w:gridCol w:w="992"/>
        <w:gridCol w:w="2835"/>
        <w:gridCol w:w="2552"/>
        <w:gridCol w:w="2324"/>
      </w:tblGrid>
      <w:tr w:rsidR="00950C6C" w:rsidRPr="00F72A73" w14:paraId="4CBD0A69" w14:textId="77777777" w:rsidTr="00C23F90">
        <w:trPr>
          <w:trHeight w:val="239"/>
        </w:trPr>
        <w:tc>
          <w:tcPr>
            <w:tcW w:w="992" w:type="dxa"/>
            <w:tcBorders>
              <w:top w:val="single" w:sz="18" w:space="0" w:color="08445E" w:themeColor="accent2"/>
              <w:left w:val="nil"/>
              <w:bottom w:val="single" w:sz="18" w:space="0" w:color="08445E" w:themeColor="accent2"/>
              <w:right w:val="nil"/>
            </w:tcBorders>
            <w:shd w:val="clear" w:color="auto" w:fill="E9E9EA"/>
            <w:tcMar>
              <w:top w:w="72" w:type="dxa"/>
              <w:left w:w="144" w:type="dxa"/>
              <w:bottom w:w="72" w:type="dxa"/>
              <w:right w:w="144" w:type="dxa"/>
            </w:tcMar>
            <w:vAlign w:val="center"/>
          </w:tcPr>
          <w:p w14:paraId="0A8D96DF" w14:textId="77777777" w:rsidR="00F66E03" w:rsidRPr="00F72A73" w:rsidRDefault="00F66E03" w:rsidP="00FA3139">
            <w:pPr>
              <w:pStyle w:val="TableTitleInTable"/>
            </w:pPr>
          </w:p>
        </w:tc>
        <w:tc>
          <w:tcPr>
            <w:tcW w:w="2835" w:type="dxa"/>
            <w:tcBorders>
              <w:top w:val="single" w:sz="18" w:space="0" w:color="08445E" w:themeColor="accent2"/>
              <w:left w:val="nil"/>
              <w:bottom w:val="single" w:sz="18" w:space="0" w:color="08445E" w:themeColor="accent2"/>
              <w:right w:val="nil"/>
            </w:tcBorders>
            <w:shd w:val="clear" w:color="auto" w:fill="E9E9EA"/>
            <w:tcMar>
              <w:top w:w="72" w:type="dxa"/>
              <w:left w:w="144" w:type="dxa"/>
              <w:bottom w:w="72" w:type="dxa"/>
              <w:right w:w="144" w:type="dxa"/>
            </w:tcMar>
          </w:tcPr>
          <w:p w14:paraId="74E1B151" w14:textId="77777777" w:rsidR="00F66E03" w:rsidRPr="00A06113" w:rsidRDefault="00F66E03" w:rsidP="00FA3139">
            <w:pPr>
              <w:pStyle w:val="TableTitleInTable"/>
              <w:jc w:val="center"/>
              <w:rPr>
                <w:b/>
                <w:color w:val="FF5000" w:themeColor="accent6"/>
              </w:rPr>
            </w:pPr>
            <w:r w:rsidRPr="00A06113">
              <w:rPr>
                <w:b/>
                <w:color w:val="FF5000" w:themeColor="accent6"/>
              </w:rPr>
              <w:t>Economic Role</w:t>
            </w:r>
          </w:p>
        </w:tc>
        <w:tc>
          <w:tcPr>
            <w:tcW w:w="2552" w:type="dxa"/>
            <w:tcBorders>
              <w:top w:val="single" w:sz="18" w:space="0" w:color="08445E" w:themeColor="accent2"/>
              <w:left w:val="nil"/>
              <w:bottom w:val="single" w:sz="18" w:space="0" w:color="08445E" w:themeColor="accent2"/>
              <w:right w:val="nil"/>
            </w:tcBorders>
            <w:shd w:val="clear" w:color="auto" w:fill="E9E9EA"/>
          </w:tcPr>
          <w:p w14:paraId="115C5522" w14:textId="77777777" w:rsidR="00F66E03" w:rsidRPr="00A06113" w:rsidRDefault="00F66E03" w:rsidP="00FA3139">
            <w:pPr>
              <w:pStyle w:val="TableTitleInTable"/>
              <w:jc w:val="center"/>
              <w:rPr>
                <w:b/>
                <w:color w:val="FF5000" w:themeColor="accent6"/>
              </w:rPr>
            </w:pPr>
            <w:r w:rsidRPr="00A06113">
              <w:rPr>
                <w:b/>
                <w:color w:val="FF5000" w:themeColor="accent6"/>
              </w:rPr>
              <w:t>Contribution to Purpose</w:t>
            </w:r>
          </w:p>
        </w:tc>
        <w:tc>
          <w:tcPr>
            <w:tcW w:w="2324" w:type="dxa"/>
            <w:tcBorders>
              <w:top w:val="single" w:sz="18" w:space="0" w:color="08445E" w:themeColor="accent2"/>
              <w:left w:val="nil"/>
              <w:bottom w:val="single" w:sz="18" w:space="0" w:color="08445E" w:themeColor="accent2"/>
              <w:right w:val="nil"/>
            </w:tcBorders>
            <w:shd w:val="clear" w:color="auto" w:fill="E9E9EA"/>
          </w:tcPr>
          <w:p w14:paraId="1E3AB1A0" w14:textId="4DAAFEBF" w:rsidR="00F66E03" w:rsidRPr="009D3D92" w:rsidRDefault="009D3D92" w:rsidP="00FA3139">
            <w:pPr>
              <w:pStyle w:val="TableTitleInTable"/>
              <w:jc w:val="center"/>
              <w:rPr>
                <w:b/>
                <w:color w:val="FF5000" w:themeColor="accent6"/>
              </w:rPr>
            </w:pPr>
            <w:r w:rsidRPr="009D3D92">
              <w:rPr>
                <w:b/>
                <w:color w:val="FF5000" w:themeColor="accent6"/>
              </w:rPr>
              <w:t>Focal Points for Intervention</w:t>
            </w:r>
          </w:p>
        </w:tc>
      </w:tr>
      <w:tr w:rsidR="00A06113" w:rsidRPr="00F72A73" w14:paraId="781E7DDC" w14:textId="77777777" w:rsidTr="00950C6C">
        <w:trPr>
          <w:trHeight w:val="239"/>
        </w:trPr>
        <w:tc>
          <w:tcPr>
            <w:tcW w:w="8703" w:type="dxa"/>
            <w:gridSpan w:val="4"/>
            <w:tcBorders>
              <w:top w:val="single" w:sz="18" w:space="0" w:color="08445E" w:themeColor="accent2"/>
              <w:left w:val="nil"/>
              <w:bottom w:val="single" w:sz="8" w:space="0" w:color="FF5000" w:themeColor="accent6"/>
              <w:right w:val="nil"/>
            </w:tcBorders>
            <w:shd w:val="clear" w:color="auto" w:fill="E9E9EA"/>
            <w:tcMar>
              <w:top w:w="72" w:type="dxa"/>
              <w:left w:w="144" w:type="dxa"/>
              <w:bottom w:w="72" w:type="dxa"/>
              <w:right w:w="144" w:type="dxa"/>
            </w:tcMar>
            <w:vAlign w:val="center"/>
          </w:tcPr>
          <w:p w14:paraId="109D2844" w14:textId="7F23B713" w:rsidR="00A06113" w:rsidRPr="005C474F" w:rsidRDefault="00A06113" w:rsidP="00950C6C">
            <w:pPr>
              <w:pStyle w:val="TableTitleInTable"/>
              <w:spacing w:before="0" w:after="0"/>
              <w:rPr>
                <w:sz w:val="16"/>
              </w:rPr>
            </w:pPr>
            <w:r>
              <w:rPr>
                <w:b/>
                <w:i/>
                <w:color w:val="FF5000" w:themeColor="accent6"/>
                <w:sz w:val="20"/>
              </w:rPr>
              <w:t>City</w:t>
            </w:r>
            <w:r w:rsidRPr="00A06113">
              <w:rPr>
                <w:b/>
                <w:i/>
                <w:color w:val="FF5000" w:themeColor="accent6"/>
                <w:sz w:val="20"/>
              </w:rPr>
              <w:t xml:space="preserve"> Assets</w:t>
            </w:r>
          </w:p>
        </w:tc>
      </w:tr>
      <w:tr w:rsidR="0010249A" w:rsidRPr="00F72A73" w14:paraId="4B5112C7" w14:textId="77777777" w:rsidTr="00C23F90">
        <w:trPr>
          <w:trHeight w:val="239"/>
        </w:trPr>
        <w:tc>
          <w:tcPr>
            <w:tcW w:w="992" w:type="dxa"/>
            <w:tcBorders>
              <w:top w:val="single" w:sz="18" w:space="0" w:color="08445E" w:themeColor="accent2"/>
              <w:left w:val="nil"/>
              <w:bottom w:val="single" w:sz="8" w:space="0" w:color="FF5000" w:themeColor="accent6"/>
              <w:right w:val="nil"/>
            </w:tcBorders>
            <w:shd w:val="clear" w:color="auto" w:fill="FFFFFF" w:themeFill="background1"/>
            <w:tcMar>
              <w:top w:w="72" w:type="dxa"/>
              <w:left w:w="144" w:type="dxa"/>
              <w:bottom w:w="72" w:type="dxa"/>
              <w:right w:w="144" w:type="dxa"/>
            </w:tcMar>
            <w:vAlign w:val="center"/>
          </w:tcPr>
          <w:p w14:paraId="0B453C55" w14:textId="50D5D155" w:rsidR="00F66E03" w:rsidRPr="00950C6C" w:rsidRDefault="00F66E03" w:rsidP="00FA3139">
            <w:pPr>
              <w:pStyle w:val="TableTitleInTable"/>
              <w:jc w:val="center"/>
              <w:rPr>
                <w:rFonts w:ascii="Source Sans Pro" w:eastAsia="Yu Gothic UI" w:hAnsi="Source Sans Pro"/>
                <w:b/>
                <w:bCs/>
                <w:color w:val="052D3F" w:themeColor="accent1"/>
                <w:sz w:val="18"/>
                <w:szCs w:val="44"/>
                <w:lang w:val="en-US"/>
              </w:rPr>
            </w:pPr>
            <w:r w:rsidRPr="00950C6C">
              <w:rPr>
                <w:rFonts w:ascii="Source Sans Pro" w:eastAsia="Yu Gothic UI" w:hAnsi="Source Sans Pro"/>
                <w:b/>
                <w:bCs/>
                <w:color w:val="052D3F" w:themeColor="accent1"/>
                <w:sz w:val="18"/>
                <w:szCs w:val="44"/>
                <w:lang w:val="en-US"/>
              </w:rPr>
              <w:t>City Airport</w:t>
            </w:r>
          </w:p>
        </w:tc>
        <w:tc>
          <w:tcPr>
            <w:tcW w:w="2835" w:type="dxa"/>
            <w:tcBorders>
              <w:top w:val="single" w:sz="18" w:space="0" w:color="08445E" w:themeColor="accent2"/>
              <w:left w:val="nil"/>
              <w:bottom w:val="single" w:sz="8" w:space="0" w:color="FF5000" w:themeColor="accent6"/>
              <w:right w:val="nil"/>
            </w:tcBorders>
            <w:shd w:val="clear" w:color="auto" w:fill="FFFFFF" w:themeFill="background1"/>
            <w:tcMar>
              <w:top w:w="72" w:type="dxa"/>
              <w:left w:w="144" w:type="dxa"/>
              <w:bottom w:w="72" w:type="dxa"/>
              <w:right w:w="144" w:type="dxa"/>
            </w:tcMar>
          </w:tcPr>
          <w:p w14:paraId="7A2848B7" w14:textId="6FEF83CD" w:rsidR="00F66E03" w:rsidRPr="0021571B" w:rsidRDefault="001F540D" w:rsidP="00C23F90">
            <w:pPr>
              <w:pStyle w:val="TableBullet"/>
              <w:numPr>
                <w:ilvl w:val="0"/>
                <w:numId w:val="0"/>
              </w:numPr>
              <w:ind w:left="-57"/>
              <w:rPr>
                <w:rFonts w:ascii="Source Sans Pro" w:hAnsi="Source Sans Pro"/>
                <w:color w:val="052D3F" w:themeColor="accent1"/>
                <w:sz w:val="16"/>
                <w:szCs w:val="17"/>
              </w:rPr>
            </w:pPr>
            <w:r w:rsidRPr="0021571B">
              <w:rPr>
                <w:rFonts w:ascii="Source Sans Pro" w:hAnsi="Source Sans Pro"/>
                <w:color w:val="052D3F" w:themeColor="accent1"/>
                <w:sz w:val="16"/>
                <w:szCs w:val="17"/>
              </w:rPr>
              <w:t>K</w:t>
            </w:r>
            <w:r w:rsidR="005C474F" w:rsidRPr="0021571B">
              <w:rPr>
                <w:rFonts w:ascii="Source Sans Pro" w:hAnsi="Source Sans Pro"/>
                <w:color w:val="052D3F" w:themeColor="accent1"/>
                <w:sz w:val="16"/>
                <w:szCs w:val="17"/>
              </w:rPr>
              <w:t xml:space="preserve">ey employer and crucial role in bringing people to Docks. </w:t>
            </w:r>
            <w:r w:rsidR="009C4030" w:rsidRPr="0021571B">
              <w:rPr>
                <w:rFonts w:ascii="Source Sans Pro" w:hAnsi="Source Sans Pro"/>
                <w:color w:val="052D3F" w:themeColor="accent1"/>
                <w:sz w:val="16"/>
                <w:szCs w:val="17"/>
              </w:rPr>
              <w:t>Long standing commitment to and track record of w</w:t>
            </w:r>
            <w:r w:rsidR="005C474F" w:rsidRPr="0021571B">
              <w:rPr>
                <w:rFonts w:ascii="Source Sans Pro" w:hAnsi="Source Sans Pro"/>
                <w:color w:val="052D3F" w:themeColor="accent1"/>
                <w:sz w:val="16"/>
                <w:szCs w:val="17"/>
              </w:rPr>
              <w:t>orking with Newham to achieve local</w:t>
            </w:r>
            <w:r w:rsidR="009C4030" w:rsidRPr="0021571B">
              <w:rPr>
                <w:rFonts w:ascii="Source Sans Pro" w:hAnsi="Source Sans Pro"/>
                <w:color w:val="052D3F" w:themeColor="accent1"/>
                <w:sz w:val="16"/>
                <w:szCs w:val="17"/>
              </w:rPr>
              <w:t xml:space="preserve"> community outcomes.</w:t>
            </w:r>
          </w:p>
        </w:tc>
        <w:tc>
          <w:tcPr>
            <w:tcW w:w="2552" w:type="dxa"/>
            <w:tcBorders>
              <w:top w:val="single" w:sz="18" w:space="0" w:color="08445E" w:themeColor="accent2"/>
              <w:left w:val="nil"/>
              <w:bottom w:val="single" w:sz="8" w:space="0" w:color="FF5000" w:themeColor="accent6"/>
              <w:right w:val="nil"/>
            </w:tcBorders>
            <w:shd w:val="clear" w:color="auto" w:fill="FFFFFF" w:themeFill="background1"/>
          </w:tcPr>
          <w:p w14:paraId="767A8B64" w14:textId="1DE2A7DF" w:rsidR="00F66E03" w:rsidRPr="0021571B" w:rsidRDefault="00525CA3" w:rsidP="00A06113">
            <w:pPr>
              <w:pStyle w:val="TableTitleInTable"/>
              <w:rPr>
                <w:rFonts w:ascii="Source Sans Pro" w:hAnsi="Source Sans Pro"/>
                <w:color w:val="052D3F" w:themeColor="accent1"/>
                <w:sz w:val="16"/>
              </w:rPr>
            </w:pPr>
            <w:r w:rsidRPr="0021571B">
              <w:rPr>
                <w:rFonts w:ascii="Source Sans Pro" w:hAnsi="Source Sans Pro"/>
                <w:color w:val="052D3F" w:themeColor="accent1"/>
                <w:sz w:val="16"/>
              </w:rPr>
              <w:t>Promoting the Royal Docks as a business location; continuing to prioritise community engagement and opportunity; engaging on expansion plans</w:t>
            </w:r>
            <w:r w:rsidR="006363A8" w:rsidRPr="0021571B">
              <w:rPr>
                <w:rFonts w:ascii="Source Sans Pro" w:hAnsi="Source Sans Pro"/>
                <w:color w:val="052D3F" w:themeColor="accent1"/>
                <w:sz w:val="16"/>
              </w:rPr>
              <w:t xml:space="preserve"> to maximise benefit </w:t>
            </w:r>
            <w:r w:rsidR="001D6CC9" w:rsidRPr="0021571B">
              <w:rPr>
                <w:rFonts w:ascii="Source Sans Pro" w:hAnsi="Source Sans Pro"/>
                <w:color w:val="052D3F" w:themeColor="accent1"/>
                <w:sz w:val="16"/>
              </w:rPr>
              <w:t>&amp;</w:t>
            </w:r>
            <w:r w:rsidR="0010249A" w:rsidRPr="0021571B">
              <w:rPr>
                <w:rFonts w:ascii="Source Sans Pro" w:hAnsi="Source Sans Pro"/>
                <w:color w:val="052D3F" w:themeColor="accent1"/>
                <w:sz w:val="16"/>
              </w:rPr>
              <w:t xml:space="preserve"> </w:t>
            </w:r>
            <w:r w:rsidR="006363A8" w:rsidRPr="0021571B">
              <w:rPr>
                <w:rFonts w:ascii="Source Sans Pro" w:hAnsi="Source Sans Pro"/>
                <w:color w:val="052D3F" w:themeColor="accent1"/>
                <w:sz w:val="16"/>
              </w:rPr>
              <w:t>minimise adverse impacts.</w:t>
            </w:r>
            <w:r w:rsidR="00A06113" w:rsidRPr="0021571B">
              <w:rPr>
                <w:rFonts w:ascii="Source Sans Pro" w:hAnsi="Source Sans Pro"/>
                <w:color w:val="052D3F" w:themeColor="accent1"/>
                <w:sz w:val="16"/>
              </w:rPr>
              <w:t xml:space="preserve"> </w:t>
            </w:r>
          </w:p>
        </w:tc>
        <w:tc>
          <w:tcPr>
            <w:tcW w:w="2324" w:type="dxa"/>
            <w:tcBorders>
              <w:top w:val="single" w:sz="18" w:space="0" w:color="08445E" w:themeColor="accent2"/>
              <w:left w:val="nil"/>
              <w:bottom w:val="single" w:sz="8" w:space="0" w:color="FF5000" w:themeColor="accent6"/>
              <w:right w:val="nil"/>
            </w:tcBorders>
            <w:shd w:val="clear" w:color="auto" w:fill="FFFFFF" w:themeFill="background1"/>
          </w:tcPr>
          <w:p w14:paraId="53E83D97" w14:textId="16FAD10D" w:rsidR="004240BA" w:rsidRPr="00196EED" w:rsidRDefault="004240BA"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Collaboration on expansion plans</w:t>
            </w:r>
          </w:p>
          <w:p w14:paraId="6728F869" w14:textId="3213633B" w:rsidR="00F66E03" w:rsidRPr="00196EED" w:rsidRDefault="004240BA"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 xml:space="preserve">Collaboration with </w:t>
            </w:r>
            <w:r w:rsidR="00C23F90">
              <w:rPr>
                <w:rFonts w:ascii="Source Sans Pro" w:hAnsi="Source Sans Pro"/>
                <w:color w:val="052D3F" w:themeColor="accent1"/>
                <w:sz w:val="16"/>
                <w:szCs w:val="19"/>
              </w:rPr>
              <w:t xml:space="preserve">reformed </w:t>
            </w:r>
            <w:r w:rsidRPr="00196EED">
              <w:rPr>
                <w:rFonts w:ascii="Source Sans Pro" w:hAnsi="Source Sans Pro"/>
                <w:color w:val="052D3F" w:themeColor="accent1"/>
                <w:sz w:val="16"/>
                <w:szCs w:val="19"/>
              </w:rPr>
              <w:t>Workplace</w:t>
            </w:r>
            <w:r w:rsidR="00E347E9">
              <w:rPr>
                <w:rFonts w:ascii="Source Sans Pro" w:hAnsi="Source Sans Pro"/>
                <w:color w:val="052D3F" w:themeColor="accent1"/>
                <w:sz w:val="16"/>
                <w:szCs w:val="19"/>
              </w:rPr>
              <w:t xml:space="preserve">, </w:t>
            </w:r>
            <w:r w:rsidR="00C23F90">
              <w:rPr>
                <w:rFonts w:ascii="Source Sans Pro" w:hAnsi="Source Sans Pro"/>
                <w:color w:val="052D3F" w:themeColor="accent1"/>
                <w:sz w:val="16"/>
                <w:szCs w:val="19"/>
              </w:rPr>
              <w:t>supply chain and</w:t>
            </w:r>
            <w:r w:rsidRPr="00196EED">
              <w:rPr>
                <w:rFonts w:ascii="Source Sans Pro" w:hAnsi="Source Sans Pro"/>
                <w:color w:val="052D3F" w:themeColor="accent1"/>
                <w:sz w:val="16"/>
                <w:szCs w:val="19"/>
              </w:rPr>
              <w:t xml:space="preserve"> business support initiatives</w:t>
            </w:r>
          </w:p>
          <w:p w14:paraId="56425F5B" w14:textId="7D90D930" w:rsidR="004240BA" w:rsidRPr="00196EED" w:rsidRDefault="004240BA"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Place marketing</w:t>
            </w:r>
            <w:r w:rsidR="00E347E9">
              <w:rPr>
                <w:rFonts w:ascii="Source Sans Pro" w:hAnsi="Source Sans Pro"/>
                <w:color w:val="052D3F" w:themeColor="accent1"/>
                <w:sz w:val="16"/>
                <w:szCs w:val="19"/>
              </w:rPr>
              <w:t>.</w:t>
            </w:r>
          </w:p>
        </w:tc>
      </w:tr>
      <w:tr w:rsidR="0010249A" w:rsidRPr="00F72A73" w14:paraId="2E6B8887" w14:textId="77777777" w:rsidTr="00C23F90">
        <w:trPr>
          <w:trHeight w:val="239"/>
        </w:trPr>
        <w:tc>
          <w:tcPr>
            <w:tcW w:w="992" w:type="dxa"/>
            <w:tcBorders>
              <w:top w:val="single" w:sz="8" w:space="0" w:color="FF5000" w:themeColor="accent6"/>
              <w:left w:val="nil"/>
              <w:bottom w:val="single" w:sz="8" w:space="0" w:color="FF5000" w:themeColor="accent6"/>
              <w:right w:val="nil"/>
            </w:tcBorders>
            <w:shd w:val="clear" w:color="auto" w:fill="FFFFFF" w:themeFill="background1"/>
            <w:tcMar>
              <w:top w:w="72" w:type="dxa"/>
              <w:left w:w="144" w:type="dxa"/>
              <w:bottom w:w="72" w:type="dxa"/>
              <w:right w:w="144" w:type="dxa"/>
            </w:tcMar>
            <w:vAlign w:val="center"/>
          </w:tcPr>
          <w:p w14:paraId="004A4BA4" w14:textId="5679FCA5" w:rsidR="00F66E03" w:rsidRPr="00950C6C" w:rsidRDefault="00F66E03" w:rsidP="00FA3139">
            <w:pPr>
              <w:pStyle w:val="TableTitleInTable"/>
              <w:jc w:val="center"/>
              <w:rPr>
                <w:rFonts w:ascii="Source Sans Pro" w:eastAsia="Yu Gothic UI" w:hAnsi="Source Sans Pro"/>
                <w:b/>
                <w:bCs/>
                <w:color w:val="052D3F" w:themeColor="accent1"/>
                <w:sz w:val="18"/>
                <w:szCs w:val="44"/>
                <w:lang w:val="en-US"/>
              </w:rPr>
            </w:pPr>
            <w:r w:rsidRPr="00950C6C">
              <w:rPr>
                <w:rFonts w:ascii="Source Sans Pro" w:eastAsia="Yu Gothic UI" w:hAnsi="Source Sans Pro"/>
                <w:b/>
                <w:bCs/>
                <w:color w:val="052D3F" w:themeColor="accent1"/>
                <w:sz w:val="18"/>
                <w:szCs w:val="44"/>
                <w:lang w:val="en-US"/>
              </w:rPr>
              <w:t>Excel</w:t>
            </w:r>
          </w:p>
        </w:tc>
        <w:tc>
          <w:tcPr>
            <w:tcW w:w="2835" w:type="dxa"/>
            <w:tcBorders>
              <w:top w:val="single" w:sz="8" w:space="0" w:color="FF5000" w:themeColor="accent6"/>
              <w:left w:val="nil"/>
              <w:bottom w:val="single" w:sz="8" w:space="0" w:color="FF5000" w:themeColor="accent6"/>
              <w:right w:val="nil"/>
            </w:tcBorders>
            <w:shd w:val="clear" w:color="auto" w:fill="FFFFFF" w:themeFill="background1"/>
            <w:tcMar>
              <w:top w:w="72" w:type="dxa"/>
              <w:left w:w="144" w:type="dxa"/>
              <w:bottom w:w="72" w:type="dxa"/>
              <w:right w:w="144" w:type="dxa"/>
            </w:tcMar>
          </w:tcPr>
          <w:p w14:paraId="3D4482E8" w14:textId="6C2095D6" w:rsidR="00F66E03" w:rsidRPr="0021571B" w:rsidRDefault="00161D11" w:rsidP="00C23F90">
            <w:pPr>
              <w:pStyle w:val="TableBullet"/>
              <w:numPr>
                <w:ilvl w:val="0"/>
                <w:numId w:val="0"/>
              </w:numPr>
              <w:ind w:left="-57"/>
              <w:rPr>
                <w:rFonts w:ascii="Source Sans Pro" w:hAnsi="Source Sans Pro"/>
                <w:color w:val="052D3F" w:themeColor="accent1"/>
                <w:sz w:val="16"/>
                <w:szCs w:val="17"/>
              </w:rPr>
            </w:pPr>
            <w:r w:rsidRPr="0021571B">
              <w:rPr>
                <w:rFonts w:ascii="Source Sans Pro" w:hAnsi="Source Sans Pro"/>
                <w:color w:val="052D3F" w:themeColor="accent1"/>
                <w:sz w:val="16"/>
                <w:szCs w:val="17"/>
              </w:rPr>
              <w:t>Key</w:t>
            </w:r>
            <w:r w:rsidR="005C474F" w:rsidRPr="0021571B">
              <w:rPr>
                <w:rFonts w:ascii="Source Sans Pro" w:hAnsi="Source Sans Pro"/>
                <w:color w:val="052D3F" w:themeColor="accent1"/>
                <w:sz w:val="16"/>
                <w:szCs w:val="17"/>
              </w:rPr>
              <w:t xml:space="preserve"> attractor of visitors to Docks</w:t>
            </w:r>
            <w:r w:rsidRPr="0021571B">
              <w:rPr>
                <w:rFonts w:ascii="Source Sans Pro" w:hAnsi="Source Sans Pro"/>
                <w:color w:val="052D3F" w:themeColor="accent1"/>
                <w:sz w:val="16"/>
                <w:szCs w:val="17"/>
              </w:rPr>
              <w:t xml:space="preserve"> from around the world</w:t>
            </w:r>
            <w:r w:rsidR="00C23F90">
              <w:rPr>
                <w:rFonts w:ascii="Source Sans Pro" w:hAnsi="Source Sans Pro"/>
                <w:color w:val="052D3F" w:themeColor="accent1"/>
                <w:sz w:val="16"/>
                <w:szCs w:val="17"/>
              </w:rPr>
              <w:t>;</w:t>
            </w:r>
            <w:r w:rsidRPr="0021571B">
              <w:rPr>
                <w:rFonts w:ascii="Source Sans Pro" w:hAnsi="Source Sans Pro"/>
                <w:color w:val="052D3F" w:themeColor="accent1"/>
                <w:sz w:val="16"/>
                <w:szCs w:val="17"/>
              </w:rPr>
              <w:t xml:space="preserve"> </w:t>
            </w:r>
            <w:r w:rsidR="005C474F" w:rsidRPr="0021571B">
              <w:rPr>
                <w:rFonts w:ascii="Source Sans Pro" w:hAnsi="Source Sans Pro"/>
                <w:color w:val="052D3F" w:themeColor="accent1"/>
                <w:sz w:val="16"/>
                <w:szCs w:val="17"/>
              </w:rPr>
              <w:t xml:space="preserve">crucial role in London business and events tourism; </w:t>
            </w:r>
            <w:r w:rsidR="00F758E2" w:rsidRPr="0021571B">
              <w:rPr>
                <w:rFonts w:ascii="Source Sans Pro" w:hAnsi="Source Sans Pro"/>
                <w:color w:val="052D3F" w:themeColor="accent1"/>
                <w:sz w:val="16"/>
                <w:szCs w:val="17"/>
              </w:rPr>
              <w:t xml:space="preserve">underpins local hotel sector; </w:t>
            </w:r>
            <w:r w:rsidR="00D51794" w:rsidRPr="0021571B">
              <w:rPr>
                <w:rFonts w:ascii="Source Sans Pro" w:hAnsi="Source Sans Pro"/>
                <w:color w:val="052D3F" w:themeColor="accent1"/>
                <w:sz w:val="16"/>
                <w:szCs w:val="17"/>
              </w:rPr>
              <w:t>rol</w:t>
            </w:r>
            <w:r w:rsidR="00594872" w:rsidRPr="0021571B">
              <w:rPr>
                <w:rFonts w:ascii="Source Sans Pro" w:hAnsi="Source Sans Pro"/>
                <w:color w:val="052D3F" w:themeColor="accent1"/>
                <w:sz w:val="16"/>
                <w:szCs w:val="17"/>
              </w:rPr>
              <w:t xml:space="preserve">e as a amenity hub when open. </w:t>
            </w:r>
          </w:p>
        </w:tc>
        <w:tc>
          <w:tcPr>
            <w:tcW w:w="2552" w:type="dxa"/>
            <w:tcBorders>
              <w:top w:val="single" w:sz="8" w:space="0" w:color="FF5000" w:themeColor="accent6"/>
              <w:left w:val="nil"/>
              <w:bottom w:val="single" w:sz="8" w:space="0" w:color="FF5000" w:themeColor="accent6"/>
              <w:right w:val="nil"/>
            </w:tcBorders>
            <w:shd w:val="clear" w:color="auto" w:fill="FFFFFF" w:themeFill="background1"/>
          </w:tcPr>
          <w:p w14:paraId="085EDE32" w14:textId="54921DFE" w:rsidR="00F66E03" w:rsidRPr="0021571B" w:rsidRDefault="00792E06" w:rsidP="006363A8">
            <w:pPr>
              <w:pStyle w:val="TableTitleInTable"/>
              <w:rPr>
                <w:rFonts w:ascii="Source Sans Pro" w:hAnsi="Source Sans Pro"/>
                <w:color w:val="052D3F" w:themeColor="accent1"/>
              </w:rPr>
            </w:pPr>
            <w:r w:rsidRPr="0021571B">
              <w:rPr>
                <w:rFonts w:ascii="Source Sans Pro" w:eastAsia="Times New Roman" w:hAnsi="Source Sans Pro"/>
                <w:color w:val="052D3F" w:themeColor="accent1"/>
                <w:sz w:val="16"/>
                <w:szCs w:val="17"/>
              </w:rPr>
              <w:t>Engaging collaboratively on masterplan</w:t>
            </w:r>
            <w:r w:rsidR="00C03295" w:rsidRPr="0021571B">
              <w:rPr>
                <w:rFonts w:ascii="Source Sans Pro" w:eastAsia="Times New Roman" w:hAnsi="Source Sans Pro"/>
                <w:color w:val="052D3F" w:themeColor="accent1"/>
                <w:sz w:val="16"/>
                <w:szCs w:val="17"/>
              </w:rPr>
              <w:t xml:space="preserve"> and growth aspirations</w:t>
            </w:r>
            <w:r w:rsidRPr="0021571B">
              <w:rPr>
                <w:rFonts w:ascii="Source Sans Pro" w:eastAsia="Times New Roman" w:hAnsi="Source Sans Pro"/>
                <w:color w:val="052D3F" w:themeColor="accent1"/>
                <w:sz w:val="16"/>
                <w:szCs w:val="17"/>
              </w:rPr>
              <w:t xml:space="preserve">; promoting </w:t>
            </w:r>
            <w:r w:rsidR="00943775" w:rsidRPr="0021571B">
              <w:rPr>
                <w:rFonts w:ascii="Source Sans Pro" w:eastAsia="Times New Roman" w:hAnsi="Source Sans Pro"/>
                <w:color w:val="052D3F" w:themeColor="accent1"/>
                <w:sz w:val="16"/>
                <w:szCs w:val="17"/>
              </w:rPr>
              <w:t>the Docks to international markets; supporting local supply chains and employment.</w:t>
            </w:r>
          </w:p>
        </w:tc>
        <w:tc>
          <w:tcPr>
            <w:tcW w:w="2324" w:type="dxa"/>
            <w:tcBorders>
              <w:top w:val="single" w:sz="8" w:space="0" w:color="FF5000" w:themeColor="accent6"/>
              <w:left w:val="nil"/>
              <w:bottom w:val="single" w:sz="8" w:space="0" w:color="FF5000" w:themeColor="accent6"/>
              <w:right w:val="nil"/>
            </w:tcBorders>
            <w:shd w:val="clear" w:color="auto" w:fill="FFFFFF" w:themeFill="background1"/>
          </w:tcPr>
          <w:p w14:paraId="68B67E19" w14:textId="6FA2CA62" w:rsidR="004240BA" w:rsidRPr="00196EED" w:rsidRDefault="004240BA"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 xml:space="preserve">Collaboration with Royal Docks </w:t>
            </w:r>
            <w:r w:rsidR="00EC49A8">
              <w:rPr>
                <w:rFonts w:ascii="Source Sans Pro" w:hAnsi="Source Sans Pro"/>
                <w:color w:val="052D3F" w:themeColor="accent1"/>
                <w:sz w:val="16"/>
                <w:szCs w:val="19"/>
              </w:rPr>
              <w:t>master-planning</w:t>
            </w:r>
          </w:p>
          <w:p w14:paraId="34432B4B" w14:textId="77777777" w:rsidR="004240BA" w:rsidRPr="00196EED" w:rsidRDefault="004240BA"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Place marketing and active work with L&amp;P</w:t>
            </w:r>
          </w:p>
          <w:p w14:paraId="3A7ED2D8" w14:textId="7480F3D7" w:rsidR="004240BA" w:rsidRPr="00196EED" w:rsidRDefault="004240BA"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 xml:space="preserve">Collaboration on </w:t>
            </w:r>
            <w:r w:rsidR="00C23F90">
              <w:rPr>
                <w:rFonts w:ascii="Source Sans Pro" w:hAnsi="Source Sans Pro"/>
                <w:color w:val="052D3F" w:themeColor="accent1"/>
                <w:sz w:val="16"/>
                <w:szCs w:val="19"/>
              </w:rPr>
              <w:t xml:space="preserve">employment and </w:t>
            </w:r>
            <w:r w:rsidRPr="00196EED">
              <w:rPr>
                <w:rFonts w:ascii="Source Sans Pro" w:hAnsi="Source Sans Pro"/>
                <w:color w:val="052D3F" w:themeColor="accent1"/>
                <w:sz w:val="16"/>
                <w:szCs w:val="19"/>
              </w:rPr>
              <w:t>supply chain initiatives</w:t>
            </w:r>
            <w:r w:rsidR="00EC49A8">
              <w:rPr>
                <w:rFonts w:ascii="Source Sans Pro" w:hAnsi="Source Sans Pro"/>
                <w:color w:val="052D3F" w:themeColor="accent1"/>
                <w:sz w:val="16"/>
                <w:szCs w:val="19"/>
              </w:rPr>
              <w:t>.</w:t>
            </w:r>
          </w:p>
        </w:tc>
      </w:tr>
      <w:tr w:rsidR="0010249A" w:rsidRPr="00F72A73" w14:paraId="646F4D60" w14:textId="77777777" w:rsidTr="00C23F90">
        <w:trPr>
          <w:trHeight w:val="239"/>
        </w:trPr>
        <w:tc>
          <w:tcPr>
            <w:tcW w:w="992" w:type="dxa"/>
            <w:tcBorders>
              <w:top w:val="single" w:sz="8" w:space="0" w:color="FF5000" w:themeColor="accent6"/>
              <w:left w:val="nil"/>
              <w:bottom w:val="single" w:sz="8" w:space="0" w:color="FF5000" w:themeColor="accent6"/>
              <w:right w:val="nil"/>
            </w:tcBorders>
            <w:shd w:val="clear" w:color="auto" w:fill="FFFFFF" w:themeFill="background1"/>
            <w:tcMar>
              <w:top w:w="72" w:type="dxa"/>
              <w:left w:w="144" w:type="dxa"/>
              <w:bottom w:w="72" w:type="dxa"/>
              <w:right w:w="144" w:type="dxa"/>
            </w:tcMar>
            <w:vAlign w:val="center"/>
          </w:tcPr>
          <w:p w14:paraId="6E6177A2" w14:textId="383CB69D" w:rsidR="00F66E03" w:rsidRPr="00950C6C" w:rsidRDefault="00F66E03" w:rsidP="00FA3139">
            <w:pPr>
              <w:pStyle w:val="TableTitleInTable"/>
              <w:jc w:val="center"/>
              <w:rPr>
                <w:rFonts w:ascii="Source Sans Pro" w:eastAsia="Yu Gothic UI" w:hAnsi="Source Sans Pro"/>
                <w:b/>
                <w:bCs/>
                <w:color w:val="052D3F" w:themeColor="accent1"/>
                <w:sz w:val="18"/>
                <w:szCs w:val="44"/>
                <w:lang w:val="en-US"/>
              </w:rPr>
            </w:pPr>
            <w:r w:rsidRPr="00950C6C">
              <w:rPr>
                <w:rFonts w:ascii="Source Sans Pro" w:eastAsia="Yu Gothic UI" w:hAnsi="Source Sans Pro"/>
                <w:b/>
                <w:bCs/>
                <w:color w:val="052D3F" w:themeColor="accent1"/>
                <w:sz w:val="18"/>
                <w:szCs w:val="44"/>
                <w:lang w:val="en-US"/>
              </w:rPr>
              <w:t xml:space="preserve">UEL </w:t>
            </w:r>
          </w:p>
        </w:tc>
        <w:tc>
          <w:tcPr>
            <w:tcW w:w="2835" w:type="dxa"/>
            <w:tcBorders>
              <w:top w:val="single" w:sz="8" w:space="0" w:color="FF5000" w:themeColor="accent6"/>
              <w:left w:val="nil"/>
              <w:bottom w:val="single" w:sz="8" w:space="0" w:color="FF5000" w:themeColor="accent6"/>
              <w:right w:val="nil"/>
            </w:tcBorders>
            <w:shd w:val="clear" w:color="auto" w:fill="FFFFFF" w:themeFill="background1"/>
            <w:tcMar>
              <w:top w:w="72" w:type="dxa"/>
              <w:left w:w="144" w:type="dxa"/>
              <w:bottom w:w="72" w:type="dxa"/>
              <w:right w:w="144" w:type="dxa"/>
            </w:tcMar>
          </w:tcPr>
          <w:p w14:paraId="2C3784D4" w14:textId="490644C8" w:rsidR="00F66E03" w:rsidRPr="0021571B" w:rsidRDefault="00F758E2" w:rsidP="00C23F90">
            <w:pPr>
              <w:pStyle w:val="TableBullet"/>
              <w:numPr>
                <w:ilvl w:val="0"/>
                <w:numId w:val="0"/>
              </w:numPr>
              <w:ind w:left="-57"/>
              <w:rPr>
                <w:rFonts w:ascii="Source Sans Pro" w:hAnsi="Source Sans Pro"/>
                <w:color w:val="052D3F" w:themeColor="accent1"/>
                <w:sz w:val="16"/>
                <w:szCs w:val="17"/>
              </w:rPr>
            </w:pPr>
            <w:r w:rsidRPr="0021571B">
              <w:rPr>
                <w:rFonts w:ascii="Source Sans Pro" w:hAnsi="Source Sans Pro"/>
                <w:color w:val="052D3F" w:themeColor="accent1"/>
                <w:sz w:val="16"/>
                <w:szCs w:val="17"/>
              </w:rPr>
              <w:t>S</w:t>
            </w:r>
            <w:r w:rsidR="006B2DB8" w:rsidRPr="0021571B">
              <w:rPr>
                <w:rFonts w:ascii="Source Sans Pro" w:hAnsi="Source Sans Pro"/>
                <w:color w:val="052D3F" w:themeColor="accent1"/>
                <w:sz w:val="16"/>
                <w:szCs w:val="17"/>
              </w:rPr>
              <w:t xml:space="preserve">ignificant HE asset, with </w:t>
            </w:r>
            <w:r w:rsidRPr="0021571B">
              <w:rPr>
                <w:rFonts w:ascii="Source Sans Pro" w:hAnsi="Source Sans Pro"/>
                <w:color w:val="052D3F" w:themeColor="accent1"/>
                <w:sz w:val="16"/>
                <w:szCs w:val="17"/>
              </w:rPr>
              <w:t>strong</w:t>
            </w:r>
            <w:r w:rsidR="006B2DB8" w:rsidRPr="0021571B">
              <w:rPr>
                <w:rFonts w:ascii="Source Sans Pro" w:hAnsi="Source Sans Pro"/>
                <w:color w:val="052D3F" w:themeColor="accent1"/>
                <w:sz w:val="16"/>
                <w:szCs w:val="17"/>
              </w:rPr>
              <w:t xml:space="preserve"> base of local students</w:t>
            </w:r>
            <w:r w:rsidRPr="0021571B">
              <w:rPr>
                <w:rFonts w:ascii="Source Sans Pro" w:hAnsi="Source Sans Pro"/>
                <w:color w:val="052D3F" w:themeColor="accent1"/>
                <w:sz w:val="16"/>
                <w:szCs w:val="17"/>
              </w:rPr>
              <w:t xml:space="preserve"> alongside global links. Increasing focus on </w:t>
            </w:r>
            <w:r w:rsidR="0083142C" w:rsidRPr="0021571B">
              <w:rPr>
                <w:rFonts w:ascii="Source Sans Pro" w:hAnsi="Source Sans Pro"/>
                <w:color w:val="052D3F" w:themeColor="accent1"/>
                <w:sz w:val="16"/>
                <w:szCs w:val="17"/>
              </w:rPr>
              <w:t xml:space="preserve">employer engagement (e.g. Amazon web services tie up) and graduates </w:t>
            </w:r>
            <w:r w:rsidR="001D6CC9" w:rsidRPr="0021571B">
              <w:rPr>
                <w:rFonts w:ascii="Source Sans Pro" w:hAnsi="Source Sans Pro"/>
                <w:color w:val="052D3F" w:themeColor="accent1"/>
                <w:sz w:val="16"/>
                <w:szCs w:val="17"/>
              </w:rPr>
              <w:t>careers</w:t>
            </w:r>
            <w:r w:rsidR="0083142C" w:rsidRPr="0021571B">
              <w:rPr>
                <w:rFonts w:ascii="Source Sans Pro" w:hAnsi="Source Sans Pro"/>
                <w:color w:val="052D3F" w:themeColor="accent1"/>
                <w:sz w:val="16"/>
                <w:szCs w:val="17"/>
              </w:rPr>
              <w:t xml:space="preserve">. </w:t>
            </w:r>
          </w:p>
        </w:tc>
        <w:tc>
          <w:tcPr>
            <w:tcW w:w="2552" w:type="dxa"/>
            <w:tcBorders>
              <w:top w:val="single" w:sz="8" w:space="0" w:color="FF5000" w:themeColor="accent6"/>
              <w:left w:val="nil"/>
              <w:bottom w:val="single" w:sz="8" w:space="0" w:color="FF5000" w:themeColor="accent6"/>
              <w:right w:val="nil"/>
            </w:tcBorders>
            <w:shd w:val="clear" w:color="auto" w:fill="FFFFFF" w:themeFill="background1"/>
          </w:tcPr>
          <w:p w14:paraId="68EF7FF8" w14:textId="3F1BA440" w:rsidR="00F66E03" w:rsidRPr="0021571B" w:rsidRDefault="00943775" w:rsidP="00943775">
            <w:pPr>
              <w:pStyle w:val="TableTitleInTable"/>
              <w:rPr>
                <w:rFonts w:ascii="Source Sans Pro" w:hAnsi="Source Sans Pro"/>
                <w:color w:val="052D3F" w:themeColor="accent1"/>
              </w:rPr>
            </w:pPr>
            <w:r w:rsidRPr="0021571B">
              <w:rPr>
                <w:rFonts w:ascii="Source Sans Pro" w:eastAsia="Times New Roman" w:hAnsi="Source Sans Pro"/>
                <w:color w:val="052D3F" w:themeColor="accent1"/>
                <w:sz w:val="16"/>
                <w:szCs w:val="17"/>
              </w:rPr>
              <w:t xml:space="preserve">Active partner in skills and </w:t>
            </w:r>
            <w:r w:rsidR="00A828F9" w:rsidRPr="0021571B">
              <w:rPr>
                <w:rFonts w:ascii="Source Sans Pro" w:eastAsia="Times New Roman" w:hAnsi="Source Sans Pro"/>
                <w:color w:val="052D3F" w:themeColor="accent1"/>
                <w:sz w:val="16"/>
                <w:szCs w:val="17"/>
              </w:rPr>
              <w:t>training activities with a focus on getting graduate and residents career ready; linking business with HE and fostering knowledge exchange.</w:t>
            </w:r>
          </w:p>
        </w:tc>
        <w:tc>
          <w:tcPr>
            <w:tcW w:w="2324" w:type="dxa"/>
            <w:tcBorders>
              <w:top w:val="single" w:sz="8" w:space="0" w:color="FF5000" w:themeColor="accent6"/>
              <w:left w:val="nil"/>
              <w:bottom w:val="single" w:sz="8" w:space="0" w:color="FF5000" w:themeColor="accent6"/>
              <w:right w:val="nil"/>
            </w:tcBorders>
            <w:shd w:val="clear" w:color="auto" w:fill="FFFFFF" w:themeFill="background1"/>
          </w:tcPr>
          <w:p w14:paraId="1AF2D5A9" w14:textId="148615F5" w:rsidR="00F66E03" w:rsidRPr="00196EED" w:rsidRDefault="00F32939"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Partner on business collaboration and knowledge transfer</w:t>
            </w:r>
          </w:p>
          <w:p w14:paraId="470D4DD2" w14:textId="3507CA6D" w:rsidR="00F32939" w:rsidRPr="00196EED" w:rsidRDefault="00F32939"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 xml:space="preserve">Core partner in skills </w:t>
            </w:r>
            <w:r w:rsidR="003D72E4" w:rsidRPr="00196EED">
              <w:rPr>
                <w:rFonts w:ascii="Source Sans Pro" w:hAnsi="Source Sans Pro"/>
                <w:color w:val="052D3F" w:themeColor="accent1"/>
                <w:sz w:val="16"/>
                <w:szCs w:val="19"/>
              </w:rPr>
              <w:t>&amp;</w:t>
            </w:r>
            <w:r w:rsidRPr="00196EED">
              <w:rPr>
                <w:rFonts w:ascii="Source Sans Pro" w:hAnsi="Source Sans Pro"/>
                <w:color w:val="052D3F" w:themeColor="accent1"/>
                <w:sz w:val="16"/>
                <w:szCs w:val="19"/>
              </w:rPr>
              <w:t xml:space="preserve"> employment initiatives.</w:t>
            </w:r>
          </w:p>
        </w:tc>
      </w:tr>
      <w:tr w:rsidR="00A06113" w:rsidRPr="00F72A73" w14:paraId="4917CE54" w14:textId="77777777" w:rsidTr="00950C6C">
        <w:trPr>
          <w:trHeight w:val="16"/>
        </w:trPr>
        <w:tc>
          <w:tcPr>
            <w:tcW w:w="8703" w:type="dxa"/>
            <w:gridSpan w:val="4"/>
            <w:tcBorders>
              <w:top w:val="single" w:sz="8" w:space="0" w:color="FF5000" w:themeColor="accent6"/>
              <w:left w:val="nil"/>
              <w:bottom w:val="single" w:sz="8" w:space="0" w:color="FF5000" w:themeColor="accent6"/>
              <w:right w:val="nil"/>
            </w:tcBorders>
            <w:shd w:val="clear" w:color="auto" w:fill="F2F2F2" w:themeFill="background1" w:themeFillShade="F2"/>
            <w:tcMar>
              <w:top w:w="72" w:type="dxa"/>
              <w:left w:w="144" w:type="dxa"/>
              <w:bottom w:w="72" w:type="dxa"/>
              <w:right w:w="144" w:type="dxa"/>
            </w:tcMar>
            <w:vAlign w:val="center"/>
          </w:tcPr>
          <w:p w14:paraId="1E3A994D" w14:textId="65F7AA96" w:rsidR="00A06113" w:rsidRPr="00A06113" w:rsidRDefault="00A06113" w:rsidP="00950C6C">
            <w:pPr>
              <w:pStyle w:val="TableTitleInTable"/>
              <w:spacing w:before="0" w:after="0"/>
              <w:rPr>
                <w:b/>
                <w:i/>
              </w:rPr>
            </w:pPr>
            <w:r w:rsidRPr="00A06113">
              <w:rPr>
                <w:b/>
                <w:i/>
                <w:color w:val="FF5000" w:themeColor="accent6"/>
                <w:sz w:val="20"/>
              </w:rPr>
              <w:t>Local Assets</w:t>
            </w:r>
          </w:p>
        </w:tc>
      </w:tr>
      <w:tr w:rsidR="0010249A" w:rsidRPr="00F72A73" w14:paraId="0100557F" w14:textId="77777777" w:rsidTr="00C23F90">
        <w:trPr>
          <w:trHeight w:val="239"/>
        </w:trPr>
        <w:tc>
          <w:tcPr>
            <w:tcW w:w="992"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1CF83EC8" w14:textId="09401C9D" w:rsidR="00F66E03" w:rsidRPr="00950C6C" w:rsidRDefault="00F66E03" w:rsidP="00FA3139">
            <w:pPr>
              <w:pStyle w:val="TableTitleInTable"/>
              <w:jc w:val="center"/>
              <w:rPr>
                <w:rFonts w:ascii="Source Sans Pro" w:eastAsia="Yu Gothic UI" w:hAnsi="Source Sans Pro"/>
                <w:b/>
                <w:bCs/>
                <w:color w:val="052D3F" w:themeColor="accent1"/>
                <w:sz w:val="18"/>
                <w:szCs w:val="44"/>
                <w:lang w:val="en-US"/>
              </w:rPr>
            </w:pPr>
            <w:r w:rsidRPr="00950C6C">
              <w:rPr>
                <w:rFonts w:ascii="Source Sans Pro" w:eastAsia="Yu Gothic UI" w:hAnsi="Source Sans Pro"/>
                <w:b/>
                <w:bCs/>
                <w:color w:val="052D3F" w:themeColor="accent1"/>
                <w:sz w:val="18"/>
                <w:szCs w:val="44"/>
                <w:lang w:val="en-US"/>
              </w:rPr>
              <w:t>The Water</w:t>
            </w:r>
          </w:p>
        </w:tc>
        <w:tc>
          <w:tcPr>
            <w:tcW w:w="2835" w:type="dxa"/>
            <w:tcBorders>
              <w:top w:val="single" w:sz="8" w:space="0" w:color="FF5000" w:themeColor="accent6"/>
              <w:left w:val="nil"/>
              <w:bottom w:val="single" w:sz="8" w:space="0" w:color="FF5000" w:themeColor="accent6"/>
              <w:right w:val="nil"/>
            </w:tcBorders>
            <w:shd w:val="clear" w:color="auto" w:fill="FFFFFF"/>
            <w:tcMar>
              <w:top w:w="72" w:type="dxa"/>
              <w:left w:w="144" w:type="dxa"/>
              <w:bottom w:w="72" w:type="dxa"/>
              <w:right w:w="144" w:type="dxa"/>
            </w:tcMar>
          </w:tcPr>
          <w:p w14:paraId="7A8D4F80" w14:textId="3296B99C" w:rsidR="00F66E03" w:rsidRPr="0021571B" w:rsidRDefault="0083142C" w:rsidP="00C23F90">
            <w:pPr>
              <w:pStyle w:val="TableBullet"/>
              <w:numPr>
                <w:ilvl w:val="0"/>
                <w:numId w:val="0"/>
              </w:numPr>
              <w:ind w:left="-57"/>
              <w:rPr>
                <w:rFonts w:ascii="Source Sans Pro" w:hAnsi="Source Sans Pro"/>
                <w:color w:val="052D3F" w:themeColor="accent1"/>
                <w:sz w:val="16"/>
                <w:szCs w:val="17"/>
              </w:rPr>
            </w:pPr>
            <w:r w:rsidRPr="0021571B">
              <w:rPr>
                <w:rFonts w:ascii="Source Sans Pro" w:hAnsi="Source Sans Pro"/>
                <w:color w:val="052D3F" w:themeColor="accent1"/>
                <w:sz w:val="16"/>
                <w:szCs w:val="17"/>
              </w:rPr>
              <w:t>D</w:t>
            </w:r>
            <w:r w:rsidR="001C57FB" w:rsidRPr="0021571B">
              <w:rPr>
                <w:rFonts w:ascii="Source Sans Pro" w:hAnsi="Source Sans Pro"/>
                <w:color w:val="052D3F" w:themeColor="accent1"/>
                <w:sz w:val="16"/>
                <w:szCs w:val="17"/>
              </w:rPr>
              <w:t xml:space="preserve">efines </w:t>
            </w:r>
            <w:r w:rsidRPr="0021571B">
              <w:rPr>
                <w:rFonts w:ascii="Source Sans Pro" w:hAnsi="Source Sans Pro"/>
                <w:color w:val="052D3F" w:themeColor="accent1"/>
                <w:sz w:val="16"/>
                <w:szCs w:val="17"/>
              </w:rPr>
              <w:t xml:space="preserve">the </w:t>
            </w:r>
            <w:r w:rsidR="001C57FB" w:rsidRPr="0021571B">
              <w:rPr>
                <w:rFonts w:ascii="Source Sans Pro" w:hAnsi="Source Sans Pro"/>
                <w:color w:val="052D3F" w:themeColor="accent1"/>
                <w:sz w:val="16"/>
                <w:szCs w:val="17"/>
              </w:rPr>
              <w:t>identity</w:t>
            </w:r>
            <w:r w:rsidRPr="0021571B">
              <w:rPr>
                <w:rFonts w:ascii="Source Sans Pro" w:hAnsi="Source Sans Pro"/>
                <w:color w:val="052D3F" w:themeColor="accent1"/>
                <w:sz w:val="16"/>
                <w:szCs w:val="17"/>
              </w:rPr>
              <w:t xml:space="preserve"> of the Royal Docks </w:t>
            </w:r>
            <w:r w:rsidR="001C57FB" w:rsidRPr="0021571B">
              <w:rPr>
                <w:rFonts w:ascii="Source Sans Pro" w:hAnsi="Source Sans Pro"/>
                <w:color w:val="052D3F" w:themeColor="accent1"/>
                <w:sz w:val="16"/>
                <w:szCs w:val="17"/>
              </w:rPr>
              <w:t>but highly under-used</w:t>
            </w:r>
            <w:r w:rsidR="00AD77E2" w:rsidRPr="0021571B">
              <w:rPr>
                <w:rFonts w:ascii="Source Sans Pro" w:hAnsi="Source Sans Pro"/>
                <w:color w:val="052D3F" w:themeColor="accent1"/>
                <w:sz w:val="16"/>
                <w:szCs w:val="17"/>
              </w:rPr>
              <w:t xml:space="preserve">. Opportunities to enhance role as a recreational, leisure and visitor resource. </w:t>
            </w:r>
          </w:p>
        </w:tc>
        <w:tc>
          <w:tcPr>
            <w:tcW w:w="2552" w:type="dxa"/>
            <w:tcBorders>
              <w:top w:val="single" w:sz="8" w:space="0" w:color="FF5000" w:themeColor="accent6"/>
              <w:left w:val="nil"/>
              <w:bottom w:val="single" w:sz="8" w:space="0" w:color="FF5000" w:themeColor="accent6"/>
              <w:right w:val="nil"/>
            </w:tcBorders>
            <w:shd w:val="clear" w:color="auto" w:fill="FFFFFF"/>
          </w:tcPr>
          <w:p w14:paraId="1A2FE155" w14:textId="70981375" w:rsidR="00F66E03" w:rsidRPr="0021571B" w:rsidRDefault="00E645B4" w:rsidP="00E645B4">
            <w:pPr>
              <w:pStyle w:val="TableBullet"/>
              <w:numPr>
                <w:ilvl w:val="0"/>
                <w:numId w:val="0"/>
              </w:numPr>
              <w:ind w:left="85"/>
              <w:rPr>
                <w:rFonts w:ascii="Source Sans Pro" w:hAnsi="Source Sans Pro"/>
                <w:color w:val="052D3F" w:themeColor="accent1"/>
              </w:rPr>
            </w:pPr>
            <w:r w:rsidRPr="0021571B">
              <w:rPr>
                <w:rFonts w:ascii="Source Sans Pro" w:hAnsi="Source Sans Pro"/>
                <w:color w:val="052D3F" w:themeColor="accent1"/>
                <w:sz w:val="16"/>
                <w:szCs w:val="17"/>
              </w:rPr>
              <w:t>Focal point for visitor activities and leisure and recreation opportunities for local residents; central to overall identity and image</w:t>
            </w:r>
            <w:r w:rsidRPr="0021571B">
              <w:rPr>
                <w:rFonts w:ascii="Source Sans Pro" w:hAnsi="Source Sans Pro"/>
                <w:color w:val="052D3F" w:themeColor="accent1"/>
              </w:rPr>
              <w:t xml:space="preserve"> </w:t>
            </w:r>
          </w:p>
        </w:tc>
        <w:tc>
          <w:tcPr>
            <w:tcW w:w="2324" w:type="dxa"/>
            <w:tcBorders>
              <w:top w:val="single" w:sz="8" w:space="0" w:color="FF5000" w:themeColor="accent6"/>
              <w:left w:val="nil"/>
              <w:bottom w:val="single" w:sz="8" w:space="0" w:color="FF5000" w:themeColor="accent6"/>
              <w:right w:val="nil"/>
            </w:tcBorders>
            <w:shd w:val="clear" w:color="auto" w:fill="FFFFFF"/>
          </w:tcPr>
          <w:p w14:paraId="7A16127A" w14:textId="1F34B194" w:rsidR="00F66E03" w:rsidRPr="00196EED" w:rsidRDefault="00950C6C"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Promoting greater access to Dock edge</w:t>
            </w:r>
          </w:p>
          <w:p w14:paraId="39E428DC" w14:textId="339E3BAB" w:rsidR="00950C6C" w:rsidRPr="00196EED" w:rsidRDefault="00950C6C" w:rsidP="00196EED">
            <w:pPr>
              <w:pStyle w:val="TableBullet"/>
              <w:ind w:left="198" w:hanging="170"/>
              <w:rPr>
                <w:rFonts w:ascii="Source Sans Pro" w:hAnsi="Source Sans Pro"/>
                <w:color w:val="052D3F" w:themeColor="accent1"/>
                <w:sz w:val="16"/>
                <w:szCs w:val="19"/>
              </w:rPr>
            </w:pPr>
            <w:r w:rsidRPr="00196EED">
              <w:rPr>
                <w:rFonts w:ascii="Source Sans Pro" w:hAnsi="Source Sans Pro"/>
                <w:color w:val="052D3F" w:themeColor="accent1"/>
                <w:sz w:val="16"/>
                <w:szCs w:val="19"/>
              </w:rPr>
              <w:t>Investment in water</w:t>
            </w:r>
            <w:r w:rsidR="0044701C">
              <w:rPr>
                <w:rFonts w:ascii="Source Sans Pro" w:hAnsi="Source Sans Pro"/>
                <w:color w:val="052D3F" w:themeColor="accent1"/>
                <w:sz w:val="16"/>
                <w:szCs w:val="19"/>
              </w:rPr>
              <w:t>-</w:t>
            </w:r>
            <w:r w:rsidRPr="00196EED">
              <w:rPr>
                <w:rFonts w:ascii="Source Sans Pro" w:hAnsi="Source Sans Pro"/>
                <w:color w:val="052D3F" w:themeColor="accent1"/>
                <w:sz w:val="16"/>
                <w:szCs w:val="19"/>
              </w:rPr>
              <w:t>based assets/ attractions</w:t>
            </w:r>
            <w:r w:rsidR="00E347E9">
              <w:rPr>
                <w:rFonts w:ascii="Source Sans Pro" w:hAnsi="Source Sans Pro"/>
                <w:color w:val="052D3F" w:themeColor="accent1"/>
                <w:sz w:val="16"/>
                <w:szCs w:val="19"/>
              </w:rPr>
              <w:t>.</w:t>
            </w:r>
          </w:p>
        </w:tc>
      </w:tr>
      <w:tr w:rsidR="00F66E03" w:rsidRPr="00F72A73" w14:paraId="1F430440" w14:textId="77777777" w:rsidTr="00C23F90">
        <w:trPr>
          <w:trHeight w:val="239"/>
        </w:trPr>
        <w:tc>
          <w:tcPr>
            <w:tcW w:w="992" w:type="dxa"/>
            <w:tcBorders>
              <w:top w:val="single" w:sz="8" w:space="0" w:color="FF5000" w:themeColor="accent6"/>
              <w:left w:val="nil"/>
              <w:bottom w:val="single" w:sz="8" w:space="0" w:color="FF5000" w:themeColor="accent6"/>
              <w:right w:val="nil"/>
            </w:tcBorders>
            <w:shd w:val="clear" w:color="auto" w:fill="auto"/>
            <w:tcMar>
              <w:top w:w="72" w:type="dxa"/>
              <w:left w:w="144" w:type="dxa"/>
              <w:bottom w:w="72" w:type="dxa"/>
              <w:right w:w="144" w:type="dxa"/>
            </w:tcMar>
            <w:vAlign w:val="center"/>
          </w:tcPr>
          <w:p w14:paraId="53D4817A" w14:textId="5702BCFE" w:rsidR="00F66E03" w:rsidRPr="00950C6C" w:rsidRDefault="00F66E03" w:rsidP="00FA3139">
            <w:pPr>
              <w:pStyle w:val="TableTitleInTable"/>
              <w:jc w:val="center"/>
              <w:rPr>
                <w:rFonts w:ascii="Source Sans Pro" w:eastAsia="Yu Gothic UI" w:hAnsi="Source Sans Pro"/>
                <w:b/>
                <w:bCs/>
                <w:color w:val="052D3F" w:themeColor="accent1"/>
                <w:sz w:val="18"/>
                <w:szCs w:val="44"/>
                <w:lang w:val="en-US"/>
              </w:rPr>
            </w:pPr>
            <w:r w:rsidRPr="00950C6C">
              <w:rPr>
                <w:rFonts w:ascii="Source Sans Pro" w:eastAsia="Yu Gothic UI" w:hAnsi="Source Sans Pro"/>
                <w:b/>
                <w:bCs/>
                <w:color w:val="052D3F" w:themeColor="accent1"/>
                <w:sz w:val="18"/>
                <w:szCs w:val="44"/>
                <w:lang w:val="en-US"/>
              </w:rPr>
              <w:t xml:space="preserve">Tate and Lyle </w:t>
            </w:r>
          </w:p>
        </w:tc>
        <w:tc>
          <w:tcPr>
            <w:tcW w:w="2835" w:type="dxa"/>
            <w:tcBorders>
              <w:top w:val="single" w:sz="8" w:space="0" w:color="FF5000" w:themeColor="accent6"/>
              <w:left w:val="nil"/>
              <w:bottom w:val="single" w:sz="8" w:space="0" w:color="FF5000" w:themeColor="accent6"/>
              <w:right w:val="nil"/>
            </w:tcBorders>
            <w:shd w:val="clear" w:color="auto" w:fill="FFFFFF"/>
            <w:tcMar>
              <w:top w:w="72" w:type="dxa"/>
              <w:left w:w="144" w:type="dxa"/>
              <w:bottom w:w="72" w:type="dxa"/>
              <w:right w:w="144" w:type="dxa"/>
            </w:tcMar>
          </w:tcPr>
          <w:p w14:paraId="1A77FB0A" w14:textId="6FB73000" w:rsidR="00F66E03" w:rsidRPr="0021571B" w:rsidRDefault="00AD77E2" w:rsidP="00C23F90">
            <w:pPr>
              <w:pStyle w:val="TableBullet"/>
              <w:numPr>
                <w:ilvl w:val="0"/>
                <w:numId w:val="0"/>
              </w:numPr>
              <w:ind w:left="-57"/>
              <w:rPr>
                <w:rFonts w:ascii="Source Sans Pro" w:hAnsi="Source Sans Pro"/>
                <w:color w:val="052D3F" w:themeColor="accent1"/>
                <w:sz w:val="16"/>
                <w:szCs w:val="17"/>
              </w:rPr>
            </w:pPr>
            <w:r w:rsidRPr="0021571B">
              <w:rPr>
                <w:rFonts w:ascii="Source Sans Pro" w:hAnsi="Source Sans Pro"/>
                <w:color w:val="052D3F" w:themeColor="accent1"/>
                <w:sz w:val="16"/>
                <w:szCs w:val="17"/>
              </w:rPr>
              <w:t>Key local</w:t>
            </w:r>
            <w:r w:rsidR="006B2DB8" w:rsidRPr="0021571B">
              <w:rPr>
                <w:rFonts w:ascii="Source Sans Pro" w:hAnsi="Source Sans Pro"/>
                <w:color w:val="052D3F" w:themeColor="accent1"/>
                <w:sz w:val="16"/>
                <w:szCs w:val="17"/>
              </w:rPr>
              <w:t xml:space="preserve"> employer (and land owner) </w:t>
            </w:r>
            <w:r w:rsidRPr="0021571B">
              <w:rPr>
                <w:rFonts w:ascii="Source Sans Pro" w:hAnsi="Source Sans Pro"/>
                <w:color w:val="052D3F" w:themeColor="accent1"/>
                <w:sz w:val="16"/>
                <w:szCs w:val="17"/>
              </w:rPr>
              <w:t xml:space="preserve">with </w:t>
            </w:r>
            <w:r w:rsidR="006B2DB8" w:rsidRPr="0021571B">
              <w:rPr>
                <w:rFonts w:ascii="Source Sans Pro" w:hAnsi="Source Sans Pro"/>
                <w:color w:val="052D3F" w:themeColor="accent1"/>
                <w:sz w:val="16"/>
                <w:szCs w:val="17"/>
              </w:rPr>
              <w:t>long term commitment to area</w:t>
            </w:r>
            <w:r w:rsidRPr="0021571B">
              <w:rPr>
                <w:rFonts w:ascii="Source Sans Pro" w:hAnsi="Source Sans Pro"/>
                <w:color w:val="052D3F" w:themeColor="accent1"/>
                <w:sz w:val="16"/>
                <w:szCs w:val="17"/>
              </w:rPr>
              <w:t xml:space="preserve"> and strong community links; important links to industrial heritage of the area. </w:t>
            </w:r>
          </w:p>
        </w:tc>
        <w:tc>
          <w:tcPr>
            <w:tcW w:w="2552" w:type="dxa"/>
            <w:tcBorders>
              <w:top w:val="single" w:sz="8" w:space="0" w:color="FF5000" w:themeColor="accent6"/>
              <w:left w:val="nil"/>
              <w:bottom w:val="single" w:sz="8" w:space="0" w:color="FF5000" w:themeColor="accent6"/>
              <w:right w:val="nil"/>
            </w:tcBorders>
            <w:shd w:val="clear" w:color="auto" w:fill="FFFFFF"/>
          </w:tcPr>
          <w:p w14:paraId="07E680AF" w14:textId="41A5E266" w:rsidR="00F66E03" w:rsidRPr="0021571B" w:rsidRDefault="00D563DB" w:rsidP="00D563DB">
            <w:pPr>
              <w:pStyle w:val="TableTitleInTable"/>
              <w:rPr>
                <w:rFonts w:ascii="Source Sans Pro" w:hAnsi="Source Sans Pro"/>
                <w:color w:val="052D3F" w:themeColor="accent1"/>
              </w:rPr>
            </w:pPr>
            <w:r w:rsidRPr="0021571B">
              <w:rPr>
                <w:rFonts w:ascii="Source Sans Pro" w:hAnsi="Source Sans Pro"/>
                <w:color w:val="052D3F" w:themeColor="accent1"/>
                <w:sz w:val="16"/>
                <w:szCs w:val="17"/>
              </w:rPr>
              <w:t xml:space="preserve">Active partner in land use planning and supporting meanwhile uses; ongoing commitment to working with local community </w:t>
            </w:r>
            <w:r w:rsidR="001D6CC9" w:rsidRPr="0021571B">
              <w:rPr>
                <w:rFonts w:ascii="Source Sans Pro" w:hAnsi="Source Sans Pro"/>
                <w:color w:val="052D3F" w:themeColor="accent1"/>
                <w:sz w:val="16"/>
                <w:szCs w:val="17"/>
              </w:rPr>
              <w:t>to support wealth building aspirations.</w:t>
            </w:r>
          </w:p>
        </w:tc>
        <w:tc>
          <w:tcPr>
            <w:tcW w:w="2324" w:type="dxa"/>
            <w:tcBorders>
              <w:top w:val="single" w:sz="8" w:space="0" w:color="FF5000" w:themeColor="accent6"/>
              <w:left w:val="nil"/>
              <w:bottom w:val="single" w:sz="8" w:space="0" w:color="FF5000" w:themeColor="accent6"/>
              <w:right w:val="nil"/>
            </w:tcBorders>
            <w:shd w:val="clear" w:color="auto" w:fill="FFFFFF"/>
          </w:tcPr>
          <w:p w14:paraId="0526E7EC" w14:textId="279A2CFB" w:rsidR="00F66E03" w:rsidRPr="00196EED" w:rsidRDefault="0044701C" w:rsidP="00196EED">
            <w:pPr>
              <w:pStyle w:val="TableBullet"/>
              <w:ind w:left="198" w:hanging="170"/>
              <w:rPr>
                <w:rFonts w:ascii="Source Sans Pro" w:hAnsi="Source Sans Pro"/>
                <w:color w:val="052D3F" w:themeColor="accent1"/>
                <w:sz w:val="16"/>
                <w:szCs w:val="19"/>
              </w:rPr>
            </w:pPr>
            <w:r>
              <w:rPr>
                <w:rFonts w:ascii="Source Sans Pro" w:hAnsi="Source Sans Pro"/>
                <w:color w:val="052D3F" w:themeColor="accent1"/>
                <w:sz w:val="16"/>
                <w:szCs w:val="19"/>
              </w:rPr>
              <w:t>Exploring use of vacant industrial space / sites</w:t>
            </w:r>
          </w:p>
          <w:p w14:paraId="30E36914" w14:textId="14806EF3" w:rsidR="00630321" w:rsidRPr="00196EED" w:rsidRDefault="00380C30" w:rsidP="00C23F90">
            <w:pPr>
              <w:pStyle w:val="TableBullet"/>
              <w:ind w:left="198" w:hanging="170"/>
              <w:rPr>
                <w:rFonts w:ascii="Source Sans Pro" w:hAnsi="Source Sans Pro"/>
                <w:color w:val="052D3F" w:themeColor="accent1"/>
                <w:sz w:val="16"/>
                <w:szCs w:val="19"/>
              </w:rPr>
            </w:pPr>
            <w:r>
              <w:rPr>
                <w:rFonts w:ascii="Source Sans Pro" w:hAnsi="Source Sans Pro"/>
                <w:color w:val="052D3F" w:themeColor="accent1"/>
                <w:sz w:val="16"/>
                <w:szCs w:val="19"/>
              </w:rPr>
              <w:t>C</w:t>
            </w:r>
            <w:r w:rsidR="00D42E8A" w:rsidRPr="00196EED">
              <w:rPr>
                <w:rFonts w:ascii="Source Sans Pro" w:hAnsi="Source Sans Pro"/>
                <w:color w:val="052D3F" w:themeColor="accent1"/>
                <w:sz w:val="16"/>
                <w:szCs w:val="19"/>
              </w:rPr>
              <w:t xml:space="preserve">ollaboration with </w:t>
            </w:r>
            <w:r w:rsidR="0044701C">
              <w:rPr>
                <w:rFonts w:ascii="Source Sans Pro" w:hAnsi="Source Sans Pro"/>
                <w:color w:val="052D3F" w:themeColor="accent1"/>
                <w:sz w:val="16"/>
                <w:szCs w:val="19"/>
              </w:rPr>
              <w:t xml:space="preserve">reformed </w:t>
            </w:r>
            <w:r w:rsidR="00950C6C" w:rsidRPr="00196EED">
              <w:rPr>
                <w:rFonts w:ascii="Source Sans Pro" w:hAnsi="Source Sans Pro"/>
                <w:color w:val="052D3F" w:themeColor="accent1"/>
                <w:sz w:val="16"/>
                <w:szCs w:val="19"/>
              </w:rPr>
              <w:t>Workplace</w:t>
            </w:r>
            <w:r w:rsidR="00D42E8A" w:rsidRPr="00196EED">
              <w:rPr>
                <w:rFonts w:ascii="Source Sans Pro" w:hAnsi="Source Sans Pro"/>
                <w:color w:val="052D3F" w:themeColor="accent1"/>
                <w:sz w:val="16"/>
                <w:szCs w:val="19"/>
              </w:rPr>
              <w:t xml:space="preserve"> </w:t>
            </w:r>
            <w:r w:rsidR="00630321">
              <w:rPr>
                <w:rFonts w:ascii="Source Sans Pro" w:hAnsi="Source Sans Pro"/>
                <w:color w:val="052D3F" w:themeColor="accent1"/>
                <w:sz w:val="16"/>
                <w:szCs w:val="19"/>
              </w:rPr>
              <w:t xml:space="preserve">and </w:t>
            </w:r>
            <w:r w:rsidR="00C23F90">
              <w:rPr>
                <w:rFonts w:ascii="Source Sans Pro" w:hAnsi="Source Sans Pro"/>
                <w:color w:val="052D3F" w:themeColor="accent1"/>
                <w:sz w:val="16"/>
                <w:szCs w:val="19"/>
              </w:rPr>
              <w:t>on supply chain and b</w:t>
            </w:r>
            <w:r w:rsidR="00630321">
              <w:rPr>
                <w:rFonts w:ascii="Source Sans Pro" w:hAnsi="Source Sans Pro"/>
                <w:color w:val="052D3F" w:themeColor="accent1"/>
                <w:sz w:val="16"/>
                <w:szCs w:val="19"/>
              </w:rPr>
              <w:t xml:space="preserve">usiness </w:t>
            </w:r>
            <w:r w:rsidR="00C23F90">
              <w:rPr>
                <w:rFonts w:ascii="Source Sans Pro" w:hAnsi="Source Sans Pro"/>
                <w:color w:val="052D3F" w:themeColor="accent1"/>
                <w:sz w:val="16"/>
                <w:szCs w:val="19"/>
              </w:rPr>
              <w:t>s</w:t>
            </w:r>
            <w:r w:rsidR="00630321">
              <w:rPr>
                <w:rFonts w:ascii="Source Sans Pro" w:hAnsi="Source Sans Pro"/>
                <w:color w:val="052D3F" w:themeColor="accent1"/>
                <w:sz w:val="16"/>
                <w:szCs w:val="19"/>
              </w:rPr>
              <w:t>upport activities</w:t>
            </w:r>
            <w:r w:rsidR="00E347E9">
              <w:rPr>
                <w:rFonts w:ascii="Source Sans Pro" w:hAnsi="Source Sans Pro"/>
                <w:color w:val="052D3F" w:themeColor="accent1"/>
                <w:sz w:val="16"/>
                <w:szCs w:val="19"/>
              </w:rPr>
              <w:t>.</w:t>
            </w:r>
          </w:p>
        </w:tc>
      </w:tr>
      <w:tr w:rsidR="00F66E03" w:rsidRPr="00F72A73" w14:paraId="4B946A71" w14:textId="77777777" w:rsidTr="00C23F90">
        <w:trPr>
          <w:trHeight w:val="239"/>
        </w:trPr>
        <w:tc>
          <w:tcPr>
            <w:tcW w:w="992" w:type="dxa"/>
            <w:tcBorders>
              <w:top w:val="single" w:sz="8" w:space="0" w:color="FF5000" w:themeColor="accent6"/>
              <w:left w:val="nil"/>
              <w:bottom w:val="single" w:sz="18" w:space="0" w:color="08445E"/>
              <w:right w:val="nil"/>
            </w:tcBorders>
            <w:shd w:val="clear" w:color="auto" w:fill="auto"/>
            <w:tcMar>
              <w:top w:w="72" w:type="dxa"/>
              <w:left w:w="144" w:type="dxa"/>
              <w:bottom w:w="72" w:type="dxa"/>
              <w:right w:w="144" w:type="dxa"/>
            </w:tcMar>
            <w:vAlign w:val="center"/>
          </w:tcPr>
          <w:p w14:paraId="241B25F9" w14:textId="16DE589D" w:rsidR="00F66E03" w:rsidRPr="00950C6C" w:rsidRDefault="00F66E03" w:rsidP="00FA3139">
            <w:pPr>
              <w:pStyle w:val="TableTitleInTable"/>
              <w:jc w:val="center"/>
              <w:rPr>
                <w:rFonts w:ascii="Source Sans Pro" w:eastAsia="Yu Gothic UI" w:hAnsi="Source Sans Pro"/>
                <w:b/>
                <w:bCs/>
                <w:color w:val="052D3F" w:themeColor="accent1"/>
                <w:sz w:val="18"/>
                <w:szCs w:val="44"/>
                <w:lang w:val="en-US"/>
              </w:rPr>
            </w:pPr>
            <w:r w:rsidRPr="00950C6C">
              <w:rPr>
                <w:rFonts w:ascii="Source Sans Pro" w:eastAsia="Yu Gothic UI" w:hAnsi="Source Sans Pro"/>
                <w:b/>
                <w:bCs/>
                <w:color w:val="052D3F" w:themeColor="accent1"/>
                <w:sz w:val="18"/>
                <w:szCs w:val="44"/>
                <w:lang w:val="en-US"/>
              </w:rPr>
              <w:t>L</w:t>
            </w:r>
            <w:r w:rsidR="00AB1528" w:rsidRPr="00950C6C">
              <w:rPr>
                <w:rFonts w:ascii="Source Sans Pro" w:eastAsia="Yu Gothic UI" w:hAnsi="Source Sans Pro"/>
                <w:b/>
                <w:bCs/>
                <w:color w:val="052D3F" w:themeColor="accent1"/>
                <w:sz w:val="18"/>
                <w:szCs w:val="44"/>
                <w:lang w:val="en-US"/>
              </w:rPr>
              <w:t>B</w:t>
            </w:r>
            <w:r w:rsidRPr="00950C6C">
              <w:rPr>
                <w:rFonts w:ascii="Source Sans Pro" w:eastAsia="Yu Gothic UI" w:hAnsi="Source Sans Pro"/>
                <w:b/>
                <w:bCs/>
                <w:color w:val="052D3F" w:themeColor="accent1"/>
                <w:sz w:val="18"/>
                <w:szCs w:val="44"/>
                <w:lang w:val="en-US"/>
              </w:rPr>
              <w:t xml:space="preserve"> New</w:t>
            </w:r>
            <w:r w:rsidR="00950C6C">
              <w:rPr>
                <w:rFonts w:ascii="Source Sans Pro" w:eastAsia="Yu Gothic UI" w:hAnsi="Source Sans Pro"/>
                <w:b/>
                <w:bCs/>
                <w:color w:val="052D3F" w:themeColor="accent1"/>
                <w:sz w:val="18"/>
                <w:szCs w:val="44"/>
                <w:lang w:val="en-US"/>
              </w:rPr>
              <w:t>-</w:t>
            </w:r>
            <w:r w:rsidRPr="00950C6C">
              <w:rPr>
                <w:rFonts w:ascii="Source Sans Pro" w:eastAsia="Yu Gothic UI" w:hAnsi="Source Sans Pro"/>
                <w:b/>
                <w:bCs/>
                <w:color w:val="052D3F" w:themeColor="accent1"/>
                <w:sz w:val="18"/>
                <w:szCs w:val="44"/>
                <w:lang w:val="en-US"/>
              </w:rPr>
              <w:t>ham</w:t>
            </w:r>
          </w:p>
        </w:tc>
        <w:tc>
          <w:tcPr>
            <w:tcW w:w="2835" w:type="dxa"/>
            <w:tcBorders>
              <w:top w:val="single" w:sz="8" w:space="0" w:color="FF5000" w:themeColor="accent6"/>
              <w:left w:val="nil"/>
              <w:bottom w:val="single" w:sz="18" w:space="0" w:color="08445E"/>
              <w:right w:val="nil"/>
            </w:tcBorders>
            <w:shd w:val="clear" w:color="auto" w:fill="FFFFFF"/>
            <w:tcMar>
              <w:top w:w="72" w:type="dxa"/>
              <w:left w:w="144" w:type="dxa"/>
              <w:bottom w:w="72" w:type="dxa"/>
              <w:right w:w="144" w:type="dxa"/>
            </w:tcMar>
          </w:tcPr>
          <w:p w14:paraId="408C7442" w14:textId="7728A738" w:rsidR="00F66E03" w:rsidRPr="0021571B" w:rsidRDefault="00AD77E2" w:rsidP="00AD77E2">
            <w:pPr>
              <w:pStyle w:val="TableBullet"/>
              <w:numPr>
                <w:ilvl w:val="0"/>
                <w:numId w:val="0"/>
              </w:numPr>
              <w:ind w:left="85"/>
              <w:rPr>
                <w:rFonts w:ascii="Source Sans Pro" w:hAnsi="Source Sans Pro"/>
                <w:color w:val="052D3F" w:themeColor="accent1"/>
                <w:sz w:val="16"/>
                <w:szCs w:val="17"/>
              </w:rPr>
            </w:pPr>
            <w:r w:rsidRPr="0021571B">
              <w:rPr>
                <w:rFonts w:ascii="Source Sans Pro" w:hAnsi="Source Sans Pro"/>
                <w:color w:val="052D3F" w:themeColor="accent1"/>
                <w:sz w:val="16"/>
                <w:szCs w:val="17"/>
              </w:rPr>
              <w:t xml:space="preserve">Key hub of employment within the Royal Docks, </w:t>
            </w:r>
            <w:r w:rsidR="00AB1528" w:rsidRPr="0021571B">
              <w:rPr>
                <w:rFonts w:ascii="Source Sans Pro" w:hAnsi="Source Sans Pro"/>
                <w:color w:val="052D3F" w:themeColor="accent1"/>
                <w:sz w:val="16"/>
                <w:szCs w:val="17"/>
              </w:rPr>
              <w:t>creating demand for local services and amenities.</w:t>
            </w:r>
          </w:p>
        </w:tc>
        <w:tc>
          <w:tcPr>
            <w:tcW w:w="2552" w:type="dxa"/>
            <w:tcBorders>
              <w:top w:val="single" w:sz="8" w:space="0" w:color="FF5000" w:themeColor="accent6"/>
              <w:left w:val="nil"/>
              <w:bottom w:val="single" w:sz="18" w:space="0" w:color="08445E"/>
              <w:right w:val="nil"/>
            </w:tcBorders>
            <w:shd w:val="clear" w:color="auto" w:fill="FFFFFF"/>
          </w:tcPr>
          <w:p w14:paraId="6754E7A8" w14:textId="47AC751D" w:rsidR="00F66E03" w:rsidRPr="0021571B" w:rsidRDefault="0010249A" w:rsidP="00012FA0">
            <w:pPr>
              <w:pStyle w:val="TableBullet"/>
              <w:numPr>
                <w:ilvl w:val="0"/>
                <w:numId w:val="0"/>
              </w:numPr>
              <w:ind w:left="85"/>
              <w:rPr>
                <w:rFonts w:ascii="Source Sans Pro" w:hAnsi="Source Sans Pro"/>
                <w:color w:val="052D3F" w:themeColor="accent1"/>
              </w:rPr>
            </w:pPr>
            <w:r w:rsidRPr="0021571B">
              <w:rPr>
                <w:rFonts w:ascii="Source Sans Pro" w:hAnsi="Source Sans Pro"/>
                <w:color w:val="052D3F" w:themeColor="accent1"/>
                <w:sz w:val="16"/>
                <w:szCs w:val="17"/>
              </w:rPr>
              <w:t xml:space="preserve">Leadership in community wealth building via to employment, procurement and </w:t>
            </w:r>
            <w:r w:rsidR="00012FA0" w:rsidRPr="0021571B">
              <w:rPr>
                <w:rFonts w:ascii="Source Sans Pro" w:hAnsi="Source Sans Pro"/>
                <w:color w:val="052D3F" w:themeColor="accent1"/>
                <w:sz w:val="16"/>
                <w:szCs w:val="17"/>
              </w:rPr>
              <w:t>asset strategy.</w:t>
            </w:r>
          </w:p>
        </w:tc>
        <w:tc>
          <w:tcPr>
            <w:tcW w:w="2324" w:type="dxa"/>
            <w:tcBorders>
              <w:top w:val="single" w:sz="8" w:space="0" w:color="FF5000" w:themeColor="accent6"/>
              <w:left w:val="nil"/>
              <w:bottom w:val="single" w:sz="18" w:space="0" w:color="08445E"/>
              <w:right w:val="nil"/>
            </w:tcBorders>
            <w:shd w:val="clear" w:color="auto" w:fill="FFFFFF"/>
          </w:tcPr>
          <w:p w14:paraId="3F481683" w14:textId="6A1AC7AF" w:rsidR="00F66E03" w:rsidRPr="009C00B0" w:rsidRDefault="00560E3D" w:rsidP="00196EED">
            <w:pPr>
              <w:pStyle w:val="TableBullet"/>
              <w:ind w:left="198" w:hanging="170"/>
              <w:rPr>
                <w:sz w:val="16"/>
              </w:rPr>
            </w:pPr>
            <w:r w:rsidRPr="00196EED">
              <w:rPr>
                <w:rFonts w:ascii="Source Sans Pro" w:hAnsi="Source Sans Pro"/>
                <w:color w:val="052D3F" w:themeColor="accent1"/>
                <w:sz w:val="16"/>
                <w:szCs w:val="19"/>
              </w:rPr>
              <w:t>Development and delivery of CWB strategy</w:t>
            </w:r>
            <w:r w:rsidR="00D42E8A" w:rsidRPr="00196EED">
              <w:rPr>
                <w:rFonts w:ascii="Source Sans Pro" w:hAnsi="Source Sans Pro"/>
                <w:color w:val="052D3F" w:themeColor="accent1"/>
                <w:sz w:val="16"/>
                <w:szCs w:val="19"/>
              </w:rPr>
              <w:t xml:space="preserve"> and embedding of principles</w:t>
            </w:r>
          </w:p>
        </w:tc>
      </w:tr>
    </w:tbl>
    <w:p w14:paraId="476FF249" w14:textId="77777777" w:rsidR="008504A8" w:rsidRDefault="008504A8" w:rsidP="00CD46A4">
      <w:pPr>
        <w:pStyle w:val="Heading1"/>
        <w:sectPr w:rsidR="008504A8" w:rsidSect="002A23AE">
          <w:footerReference w:type="default" r:id="rId38"/>
          <w:pgSz w:w="11906" w:h="16838" w:code="9"/>
          <w:pgMar w:top="1418" w:right="1247" w:bottom="1588" w:left="1247" w:header="680" w:footer="340" w:gutter="0"/>
          <w:cols w:space="708"/>
          <w:docGrid w:linePitch="360"/>
        </w:sectPr>
      </w:pPr>
    </w:p>
    <w:p w14:paraId="19049CD4" w14:textId="4B983206" w:rsidR="00F61727" w:rsidRPr="0056155D" w:rsidRDefault="008504A8" w:rsidP="00CD46A4">
      <w:pPr>
        <w:pStyle w:val="Heading1"/>
      </w:pPr>
      <w:bookmarkStart w:id="47" w:name="_Toc25937444"/>
      <w:r w:rsidRPr="0056155D">
        <w:lastRenderedPageBreak/>
        <w:t>I</w:t>
      </w:r>
      <w:r w:rsidR="007942D5" w:rsidRPr="0056155D">
        <w:t xml:space="preserve">nnovation in </w:t>
      </w:r>
      <w:r w:rsidR="003F1A23" w:rsidRPr="0056155D">
        <w:t>Delivery</w:t>
      </w:r>
      <w:bookmarkEnd w:id="47"/>
      <w:r w:rsidR="003F1A23" w:rsidRPr="0056155D">
        <w:t xml:space="preserve"> </w:t>
      </w:r>
    </w:p>
    <w:p w14:paraId="3CB9AF59" w14:textId="443254FD" w:rsidR="001B51E5" w:rsidRPr="0056155D" w:rsidRDefault="001B51E5" w:rsidP="00EE739A">
      <w:pPr>
        <w:pStyle w:val="RDIntroText"/>
      </w:pPr>
      <w:r w:rsidRPr="0056155D">
        <w:t xml:space="preserve">To differentiate itself in London and globally, </w:t>
      </w:r>
      <w:r w:rsidR="005123F5" w:rsidRPr="0056155D">
        <w:t xml:space="preserve">the </w:t>
      </w:r>
      <w:r w:rsidRPr="0056155D">
        <w:t xml:space="preserve">Royal Docks </w:t>
      </w:r>
      <w:r w:rsidR="005123F5" w:rsidRPr="0056155D">
        <w:t xml:space="preserve">will </w:t>
      </w:r>
      <w:r w:rsidRPr="0056155D">
        <w:t>need</w:t>
      </w:r>
      <w:r w:rsidR="005123F5" w:rsidRPr="0056155D">
        <w:t xml:space="preserve"> to</w:t>
      </w:r>
      <w:r w:rsidRPr="0056155D">
        <w:t xml:space="preserve"> embrace new </w:t>
      </w:r>
      <w:r w:rsidR="005123F5" w:rsidRPr="0056155D">
        <w:t xml:space="preserve">delivery </w:t>
      </w:r>
      <w:r w:rsidRPr="0056155D">
        <w:t>approaches</w:t>
      </w:r>
      <w:r w:rsidR="005123F5" w:rsidRPr="0056155D">
        <w:t xml:space="preserve">. </w:t>
      </w:r>
      <w:r w:rsidR="009D423A" w:rsidRPr="0056155D">
        <w:t xml:space="preserve">A </w:t>
      </w:r>
      <w:r w:rsidR="00C435E7" w:rsidRPr="0056155D">
        <w:t>long-term</w:t>
      </w:r>
      <w:r w:rsidR="00C96D97" w:rsidRPr="0056155D">
        <w:t xml:space="preserve"> commitment</w:t>
      </w:r>
      <w:r w:rsidR="00A23BAA" w:rsidRPr="0056155D">
        <w:t xml:space="preserve"> </w:t>
      </w:r>
      <w:r w:rsidR="009D423A" w:rsidRPr="0056155D">
        <w:t xml:space="preserve">and </w:t>
      </w:r>
      <w:r w:rsidR="0005301B" w:rsidRPr="0056155D">
        <w:t>a</w:t>
      </w:r>
      <w:r w:rsidR="00BB51BE" w:rsidRPr="0056155D">
        <w:t xml:space="preserve">n ethos of innovation </w:t>
      </w:r>
      <w:r w:rsidR="00A23BAA" w:rsidRPr="0056155D">
        <w:t xml:space="preserve">and </w:t>
      </w:r>
      <w:r w:rsidR="002C2FAE" w:rsidRPr="0056155D">
        <w:t xml:space="preserve">agility </w:t>
      </w:r>
      <w:r w:rsidR="000A4BC3" w:rsidRPr="0056155D">
        <w:t>will</w:t>
      </w:r>
      <w:r w:rsidR="00A23BAA" w:rsidRPr="0056155D">
        <w:t xml:space="preserve"> </w:t>
      </w:r>
      <w:r w:rsidR="009D423A" w:rsidRPr="0056155D">
        <w:t>be</w:t>
      </w:r>
      <w:r w:rsidR="00A23BAA" w:rsidRPr="0056155D">
        <w:t xml:space="preserve"> needed to</w:t>
      </w:r>
      <w:r w:rsidR="00B371CD" w:rsidRPr="0056155D">
        <w:t xml:space="preserve"> </w:t>
      </w:r>
      <w:r w:rsidR="00313CB3" w:rsidRPr="0056155D">
        <w:t xml:space="preserve">ensure action and investment continues to evolve to match local need and market demand. </w:t>
      </w:r>
    </w:p>
    <w:p w14:paraId="6B7DA98C" w14:textId="36A75F83" w:rsidR="001B51E5" w:rsidRPr="0056155D" w:rsidRDefault="00893B8A" w:rsidP="00893B8A">
      <w:pPr>
        <w:pStyle w:val="RDTier2"/>
        <w:rPr>
          <w:lang w:val="en-US"/>
        </w:rPr>
      </w:pPr>
      <w:r w:rsidRPr="0056155D">
        <w:rPr>
          <w:lang w:val="en-US"/>
        </w:rPr>
        <w:t>Delivery Principles</w:t>
      </w:r>
    </w:p>
    <w:p w14:paraId="6AB67E8C" w14:textId="76E5DD79" w:rsidR="003F1A23" w:rsidRPr="0056155D" w:rsidRDefault="003F1A23" w:rsidP="0006266F">
      <w:pPr>
        <w:pStyle w:val="RDBullet"/>
        <w:keepNext/>
        <w:numPr>
          <w:ilvl w:val="0"/>
          <w:numId w:val="0"/>
        </w:numPr>
        <w:spacing w:before="240"/>
        <w:ind w:left="680"/>
        <w:rPr>
          <w:lang w:val="en-US"/>
        </w:rPr>
      </w:pPr>
      <w:r w:rsidRPr="0056155D">
        <w:rPr>
          <w:lang w:val="en-US"/>
        </w:rPr>
        <w:t xml:space="preserve">The delivery of projects will only be part of the process which will secure positive change and outcomes in the Royal Docks. The level of funding available </w:t>
      </w:r>
      <w:r w:rsidR="00C435E7" w:rsidRPr="0056155D">
        <w:rPr>
          <w:lang w:val="en-US"/>
        </w:rPr>
        <w:t xml:space="preserve">through Enterprise Zone </w:t>
      </w:r>
      <w:r w:rsidR="001D595A" w:rsidRPr="0056155D">
        <w:rPr>
          <w:lang w:val="en-US"/>
        </w:rPr>
        <w:t>s</w:t>
      </w:r>
      <w:r w:rsidR="00C435E7" w:rsidRPr="0056155D">
        <w:rPr>
          <w:lang w:val="en-US"/>
        </w:rPr>
        <w:t>tatus</w:t>
      </w:r>
      <w:r w:rsidR="001D595A" w:rsidRPr="0056155D">
        <w:rPr>
          <w:lang w:val="en-US"/>
        </w:rPr>
        <w:t xml:space="preserve">, </w:t>
      </w:r>
      <w:r w:rsidRPr="0056155D">
        <w:rPr>
          <w:lang w:val="en-US"/>
        </w:rPr>
        <w:t xml:space="preserve">alongside the scale of aspiration of partners means that the Royal Docks Team, Newham </w:t>
      </w:r>
      <w:r w:rsidR="001D595A" w:rsidRPr="0056155D">
        <w:rPr>
          <w:lang w:val="en-US"/>
        </w:rPr>
        <w:t>Council</w:t>
      </w:r>
      <w:r w:rsidR="009D423A" w:rsidRPr="0056155D">
        <w:rPr>
          <w:lang w:val="en-US"/>
        </w:rPr>
        <w:t xml:space="preserve"> </w:t>
      </w:r>
      <w:r w:rsidRPr="0056155D">
        <w:rPr>
          <w:lang w:val="en-US"/>
        </w:rPr>
        <w:t xml:space="preserve">and partners need to set a high standard in the way projects are delivered. </w:t>
      </w:r>
    </w:p>
    <w:p w14:paraId="7621B957" w14:textId="709E7F2A" w:rsidR="003F1A23" w:rsidRPr="0056155D" w:rsidRDefault="003F1A23" w:rsidP="0006266F">
      <w:pPr>
        <w:pStyle w:val="RDBullet"/>
        <w:keepNext/>
        <w:numPr>
          <w:ilvl w:val="0"/>
          <w:numId w:val="0"/>
        </w:numPr>
        <w:spacing w:before="240"/>
        <w:ind w:left="680"/>
        <w:rPr>
          <w:lang w:val="en-US"/>
        </w:rPr>
      </w:pPr>
      <w:r w:rsidRPr="0056155D">
        <w:rPr>
          <w:lang w:val="en-US"/>
        </w:rPr>
        <w:t>To inform this and provoke new practices a set of principles have been identified to support delivery</w:t>
      </w:r>
      <w:r w:rsidR="00A1686B" w:rsidRPr="0056155D">
        <w:rPr>
          <w:lang w:val="en-US"/>
        </w:rPr>
        <w:t>:</w:t>
      </w:r>
      <w:r w:rsidRPr="0056155D">
        <w:rPr>
          <w:lang w:val="en-US"/>
        </w:rPr>
        <w:t xml:space="preserve"> </w:t>
      </w:r>
    </w:p>
    <w:p w14:paraId="06D041CF" w14:textId="39125062" w:rsidR="003F1A23" w:rsidRPr="0056155D" w:rsidRDefault="003F1A23" w:rsidP="003F1A23">
      <w:pPr>
        <w:pStyle w:val="RDBullet"/>
        <w:keepNext/>
        <w:spacing w:before="240"/>
        <w:rPr>
          <w:lang w:val="en-US"/>
        </w:rPr>
      </w:pPr>
      <w:r w:rsidRPr="0056155D">
        <w:rPr>
          <w:b/>
          <w:lang w:val="en-US"/>
        </w:rPr>
        <w:t xml:space="preserve">Build </w:t>
      </w:r>
      <w:r w:rsidR="00AB2247" w:rsidRPr="0056155D">
        <w:rPr>
          <w:b/>
          <w:lang w:val="en-US"/>
        </w:rPr>
        <w:t>f</w:t>
      </w:r>
      <w:r w:rsidRPr="0056155D">
        <w:rPr>
          <w:b/>
          <w:lang w:val="en-US"/>
        </w:rPr>
        <w:t xml:space="preserve">oundations for </w:t>
      </w:r>
      <w:r w:rsidR="00AB2247" w:rsidRPr="0056155D">
        <w:rPr>
          <w:b/>
          <w:lang w:val="en-US"/>
        </w:rPr>
        <w:t>l</w:t>
      </w:r>
      <w:r w:rsidRPr="0056155D">
        <w:rPr>
          <w:b/>
          <w:lang w:val="en-US"/>
        </w:rPr>
        <w:t>ong-</w:t>
      </w:r>
      <w:r w:rsidR="00AB2247" w:rsidRPr="0056155D">
        <w:rPr>
          <w:b/>
          <w:lang w:val="en-US"/>
        </w:rPr>
        <w:t>t</w:t>
      </w:r>
      <w:r w:rsidRPr="0056155D">
        <w:rPr>
          <w:b/>
          <w:lang w:val="en-US"/>
        </w:rPr>
        <w:t xml:space="preserve">erm </w:t>
      </w:r>
      <w:r w:rsidR="00AB2247" w:rsidRPr="0056155D">
        <w:rPr>
          <w:b/>
          <w:lang w:val="en-US"/>
        </w:rPr>
        <w:t>p</w:t>
      </w:r>
      <w:r w:rsidRPr="0056155D">
        <w:rPr>
          <w:b/>
          <w:lang w:val="en-US"/>
        </w:rPr>
        <w:t>articipation and local involvement</w:t>
      </w:r>
      <w:r w:rsidR="007942D5" w:rsidRPr="0056155D">
        <w:rPr>
          <w:lang w:val="en-US"/>
        </w:rPr>
        <w:t xml:space="preserve">. </w:t>
      </w:r>
      <w:r w:rsidRPr="0056155D">
        <w:rPr>
          <w:lang w:val="en-US"/>
        </w:rPr>
        <w:t xml:space="preserve">Projects should not be imposed upon people and places. </w:t>
      </w:r>
      <w:r w:rsidR="001D595A" w:rsidRPr="0056155D">
        <w:rPr>
          <w:lang w:val="en-US"/>
        </w:rPr>
        <w:t xml:space="preserve">All delivery partners </w:t>
      </w:r>
      <w:r w:rsidRPr="0056155D">
        <w:rPr>
          <w:lang w:val="en-US"/>
        </w:rPr>
        <w:t xml:space="preserve">must seek to constantly support local </w:t>
      </w:r>
      <w:r w:rsidR="008E075C" w:rsidRPr="0056155D">
        <w:rPr>
          <w:lang w:val="en-US"/>
        </w:rPr>
        <w:t>citizens</w:t>
      </w:r>
      <w:r w:rsidRPr="0056155D">
        <w:rPr>
          <w:lang w:val="en-US"/>
        </w:rPr>
        <w:t xml:space="preserve"> to develop their </w:t>
      </w:r>
      <w:r w:rsidR="008E075C" w:rsidRPr="0056155D">
        <w:rPr>
          <w:lang w:val="en-US"/>
        </w:rPr>
        <w:t>individual</w:t>
      </w:r>
      <w:r w:rsidRPr="0056155D">
        <w:rPr>
          <w:lang w:val="en-US"/>
        </w:rPr>
        <w:t xml:space="preserve"> and </w:t>
      </w:r>
      <w:r w:rsidR="008E075C" w:rsidRPr="0056155D">
        <w:rPr>
          <w:lang w:val="en-US"/>
        </w:rPr>
        <w:t>collective</w:t>
      </w:r>
      <w:r w:rsidRPr="0056155D">
        <w:rPr>
          <w:lang w:val="en-US"/>
        </w:rPr>
        <w:t xml:space="preserve"> capacity to </w:t>
      </w:r>
      <w:r w:rsidR="008E075C" w:rsidRPr="0056155D">
        <w:rPr>
          <w:lang w:val="en-US"/>
        </w:rPr>
        <w:t>develop</w:t>
      </w:r>
      <w:r w:rsidRPr="0056155D">
        <w:rPr>
          <w:lang w:val="en-US"/>
        </w:rPr>
        <w:t xml:space="preserve"> </w:t>
      </w:r>
      <w:r w:rsidR="008E075C" w:rsidRPr="0056155D">
        <w:rPr>
          <w:lang w:val="en-US"/>
        </w:rPr>
        <w:t>ideas</w:t>
      </w:r>
      <w:r w:rsidR="00B2643D" w:rsidRPr="0056155D">
        <w:rPr>
          <w:lang w:val="en-US"/>
        </w:rPr>
        <w:t xml:space="preserve"> and participate (and ideally lead) delivery.</w:t>
      </w:r>
    </w:p>
    <w:p w14:paraId="10291BE7" w14:textId="3D7CF1A0" w:rsidR="003F1A23" w:rsidRPr="0056155D" w:rsidRDefault="003F1A23" w:rsidP="003F1A23">
      <w:pPr>
        <w:pStyle w:val="RDBullet"/>
        <w:keepNext/>
        <w:spacing w:before="240"/>
        <w:rPr>
          <w:lang w:val="en-US"/>
        </w:rPr>
      </w:pPr>
      <w:r w:rsidRPr="0056155D">
        <w:rPr>
          <w:b/>
          <w:lang w:val="en-US"/>
        </w:rPr>
        <w:t xml:space="preserve">Understand and </w:t>
      </w:r>
      <w:r w:rsidR="00AB2247" w:rsidRPr="0056155D">
        <w:rPr>
          <w:b/>
          <w:lang w:val="en-US"/>
        </w:rPr>
        <w:t>b</w:t>
      </w:r>
      <w:r w:rsidRPr="0056155D">
        <w:rPr>
          <w:b/>
          <w:lang w:val="en-US"/>
        </w:rPr>
        <w:t>alance ‘</w:t>
      </w:r>
      <w:r w:rsidR="00AB2247" w:rsidRPr="0056155D">
        <w:rPr>
          <w:b/>
          <w:lang w:val="en-US"/>
        </w:rPr>
        <w:t>v</w:t>
      </w:r>
      <w:r w:rsidRPr="0056155D">
        <w:rPr>
          <w:b/>
          <w:lang w:val="en-US"/>
        </w:rPr>
        <w:t>alue’</w:t>
      </w:r>
      <w:r w:rsidR="008E075C" w:rsidRPr="0056155D">
        <w:rPr>
          <w:lang w:val="en-US"/>
        </w:rPr>
        <w:t>.</w:t>
      </w:r>
      <w:r w:rsidRPr="0056155D">
        <w:rPr>
          <w:lang w:val="en-US"/>
        </w:rPr>
        <w:t xml:space="preserve"> </w:t>
      </w:r>
      <w:r w:rsidR="008E075C" w:rsidRPr="0056155D">
        <w:rPr>
          <w:lang w:val="en-US"/>
        </w:rPr>
        <w:t>Positive</w:t>
      </w:r>
      <w:r w:rsidRPr="0056155D">
        <w:rPr>
          <w:lang w:val="en-US"/>
        </w:rPr>
        <w:t xml:space="preserve"> economic outcomes</w:t>
      </w:r>
      <w:r w:rsidR="004015FD" w:rsidRPr="0056155D">
        <w:rPr>
          <w:lang w:val="en-US"/>
        </w:rPr>
        <w:t xml:space="preserve"> should </w:t>
      </w:r>
      <w:r w:rsidRPr="0056155D">
        <w:rPr>
          <w:lang w:val="en-US"/>
        </w:rPr>
        <w:t xml:space="preserve">not just be defined by core economic metrics (Land Value, Jobs and GVA). It is </w:t>
      </w:r>
      <w:r w:rsidR="008E075C" w:rsidRPr="0056155D">
        <w:rPr>
          <w:lang w:val="en-US"/>
        </w:rPr>
        <w:t>important</w:t>
      </w:r>
      <w:r w:rsidRPr="0056155D">
        <w:rPr>
          <w:lang w:val="en-US"/>
        </w:rPr>
        <w:t xml:space="preserve"> that partners take </w:t>
      </w:r>
      <w:r w:rsidR="004015FD" w:rsidRPr="0056155D">
        <w:rPr>
          <w:lang w:val="en-US"/>
        </w:rPr>
        <w:t xml:space="preserve">a </w:t>
      </w:r>
      <w:r w:rsidRPr="0056155D">
        <w:rPr>
          <w:lang w:val="en-US"/>
        </w:rPr>
        <w:t>br</w:t>
      </w:r>
      <w:r w:rsidR="00B2643D" w:rsidRPr="0056155D">
        <w:rPr>
          <w:lang w:val="en-US"/>
        </w:rPr>
        <w:t>o</w:t>
      </w:r>
      <w:r w:rsidRPr="0056155D">
        <w:rPr>
          <w:lang w:val="en-US"/>
        </w:rPr>
        <w:t xml:space="preserve">ad view of what they value and ensure that measures of wellbeing and life </w:t>
      </w:r>
      <w:r w:rsidR="008E075C" w:rsidRPr="0056155D">
        <w:rPr>
          <w:lang w:val="en-US"/>
        </w:rPr>
        <w:t>satisfaction</w:t>
      </w:r>
      <w:r w:rsidRPr="0056155D">
        <w:rPr>
          <w:lang w:val="en-US"/>
        </w:rPr>
        <w:t xml:space="preserve"> are given equal billing in measure</w:t>
      </w:r>
      <w:r w:rsidR="004015FD" w:rsidRPr="0056155D">
        <w:rPr>
          <w:lang w:val="en-US"/>
        </w:rPr>
        <w:t>s</w:t>
      </w:r>
      <w:r w:rsidRPr="0056155D">
        <w:rPr>
          <w:lang w:val="en-US"/>
        </w:rPr>
        <w:t xml:space="preserve"> of success</w:t>
      </w:r>
      <w:r w:rsidR="004015FD" w:rsidRPr="0056155D">
        <w:rPr>
          <w:lang w:val="en-US"/>
        </w:rPr>
        <w:t>.</w:t>
      </w:r>
    </w:p>
    <w:p w14:paraId="67207FA2" w14:textId="444E4368" w:rsidR="00D441A7" w:rsidRPr="00D441A7" w:rsidRDefault="00D441A7" w:rsidP="003F1A23">
      <w:pPr>
        <w:pStyle w:val="RDBullet"/>
        <w:keepNext/>
        <w:spacing w:before="240"/>
        <w:rPr>
          <w:lang w:val="en-US"/>
        </w:rPr>
      </w:pPr>
      <w:r w:rsidRPr="00D7375D">
        <w:rPr>
          <w:b/>
          <w:lang w:val="en-US"/>
        </w:rPr>
        <w:t>Innovate and Proto</w:t>
      </w:r>
      <w:r w:rsidR="00D7375D" w:rsidRPr="00D7375D">
        <w:rPr>
          <w:b/>
          <w:lang w:val="en-US"/>
        </w:rPr>
        <w:t>type</w:t>
      </w:r>
      <w:r w:rsidR="00D7375D">
        <w:rPr>
          <w:lang w:val="en-US"/>
        </w:rPr>
        <w:t xml:space="preserve">. From initial pioneer projects, it is vital </w:t>
      </w:r>
      <w:r w:rsidR="00DA1345">
        <w:rPr>
          <w:lang w:val="en-US"/>
        </w:rPr>
        <w:t>that partners use resources to experiment and develop new approaches. This is important to the agility of the project but also</w:t>
      </w:r>
      <w:r w:rsidR="006E5190">
        <w:rPr>
          <w:lang w:val="en-US"/>
        </w:rPr>
        <w:t xml:space="preserve"> to its contribution to the evolution of new approaches in London as a whole. </w:t>
      </w:r>
    </w:p>
    <w:p w14:paraId="14201FCC" w14:textId="17BDCAF9" w:rsidR="003F1A23" w:rsidRPr="0056155D" w:rsidRDefault="003F1A23" w:rsidP="003F1A23">
      <w:pPr>
        <w:pStyle w:val="RDBullet"/>
        <w:keepNext/>
        <w:spacing w:before="240"/>
        <w:rPr>
          <w:lang w:val="en-US"/>
        </w:rPr>
      </w:pPr>
      <w:r w:rsidRPr="0056155D">
        <w:rPr>
          <w:b/>
          <w:lang w:val="en-US"/>
        </w:rPr>
        <w:t xml:space="preserve">Respond to new </w:t>
      </w:r>
      <w:r w:rsidR="00AB2247" w:rsidRPr="0056155D">
        <w:rPr>
          <w:b/>
          <w:lang w:val="en-US"/>
        </w:rPr>
        <w:t>i</w:t>
      </w:r>
      <w:r w:rsidRPr="0056155D">
        <w:rPr>
          <w:b/>
          <w:lang w:val="en-US"/>
        </w:rPr>
        <w:t xml:space="preserve">nvestor </w:t>
      </w:r>
      <w:r w:rsidR="00AB2247" w:rsidRPr="0056155D">
        <w:rPr>
          <w:b/>
          <w:lang w:val="en-US"/>
        </w:rPr>
        <w:t>m</w:t>
      </w:r>
      <w:r w:rsidRPr="0056155D">
        <w:rPr>
          <w:b/>
          <w:lang w:val="en-US"/>
        </w:rPr>
        <w:t>otivation</w:t>
      </w:r>
      <w:r w:rsidR="00AB2247" w:rsidRPr="0056155D">
        <w:rPr>
          <w:b/>
          <w:lang w:val="en-US"/>
        </w:rPr>
        <w:t>s</w:t>
      </w:r>
      <w:r w:rsidRPr="0056155D">
        <w:rPr>
          <w:b/>
          <w:lang w:val="en-US"/>
        </w:rPr>
        <w:t xml:space="preserve"> (</w:t>
      </w:r>
      <w:r w:rsidR="00AB2247" w:rsidRPr="0056155D">
        <w:rPr>
          <w:b/>
          <w:lang w:val="en-US"/>
        </w:rPr>
        <w:t>e</w:t>
      </w:r>
      <w:r w:rsidRPr="0056155D">
        <w:rPr>
          <w:b/>
          <w:lang w:val="en-US"/>
        </w:rPr>
        <w:t xml:space="preserve">nvironmental and </w:t>
      </w:r>
      <w:r w:rsidR="00AB2247" w:rsidRPr="0056155D">
        <w:rPr>
          <w:b/>
          <w:lang w:val="en-US"/>
        </w:rPr>
        <w:t>s</w:t>
      </w:r>
      <w:r w:rsidRPr="0056155D">
        <w:rPr>
          <w:b/>
          <w:lang w:val="en-US"/>
        </w:rPr>
        <w:t>ocial)</w:t>
      </w:r>
      <w:r w:rsidR="008E075C" w:rsidRPr="0056155D">
        <w:rPr>
          <w:b/>
          <w:lang w:val="en-US"/>
        </w:rPr>
        <w:t>.</w:t>
      </w:r>
      <w:r w:rsidRPr="0056155D">
        <w:rPr>
          <w:lang w:val="en-US"/>
        </w:rPr>
        <w:t xml:space="preserve"> Institutional </w:t>
      </w:r>
      <w:r w:rsidR="008E075C" w:rsidRPr="0056155D">
        <w:rPr>
          <w:lang w:val="en-US"/>
        </w:rPr>
        <w:t>investors</w:t>
      </w:r>
      <w:r w:rsidRPr="0056155D">
        <w:rPr>
          <w:lang w:val="en-US"/>
        </w:rPr>
        <w:t xml:space="preserve"> are increasingly </w:t>
      </w:r>
      <w:r w:rsidR="008E075C" w:rsidRPr="0056155D">
        <w:rPr>
          <w:lang w:val="en-US"/>
        </w:rPr>
        <w:t>focusing</w:t>
      </w:r>
      <w:r w:rsidRPr="0056155D">
        <w:rPr>
          <w:lang w:val="en-US"/>
        </w:rPr>
        <w:t xml:space="preserve"> upon investments which </w:t>
      </w:r>
      <w:r w:rsidR="008E075C" w:rsidRPr="0056155D">
        <w:rPr>
          <w:lang w:val="en-US"/>
        </w:rPr>
        <w:t>respond</w:t>
      </w:r>
      <w:r w:rsidRPr="0056155D">
        <w:rPr>
          <w:lang w:val="en-US"/>
        </w:rPr>
        <w:t xml:space="preserve"> to the </w:t>
      </w:r>
      <w:r w:rsidR="008E075C" w:rsidRPr="0056155D">
        <w:rPr>
          <w:lang w:val="en-US"/>
        </w:rPr>
        <w:t>preeminent</w:t>
      </w:r>
      <w:r w:rsidRPr="0056155D">
        <w:rPr>
          <w:lang w:val="en-US"/>
        </w:rPr>
        <w:t xml:space="preserve"> challenge</w:t>
      </w:r>
      <w:r w:rsidR="00DB4744" w:rsidRPr="0056155D">
        <w:rPr>
          <w:lang w:val="en-US"/>
        </w:rPr>
        <w:t>s</w:t>
      </w:r>
      <w:r w:rsidRPr="0056155D">
        <w:rPr>
          <w:lang w:val="en-US"/>
        </w:rPr>
        <w:t xml:space="preserve"> </w:t>
      </w:r>
      <w:r w:rsidR="00DB4744" w:rsidRPr="0056155D">
        <w:rPr>
          <w:lang w:val="en-US"/>
        </w:rPr>
        <w:t xml:space="preserve">that </w:t>
      </w:r>
      <w:r w:rsidRPr="0056155D">
        <w:rPr>
          <w:lang w:val="en-US"/>
        </w:rPr>
        <w:t>society faces. The Royal Docks needs to ensure that it fully embrace</w:t>
      </w:r>
      <w:r w:rsidR="00DB4744" w:rsidRPr="0056155D">
        <w:rPr>
          <w:lang w:val="en-US"/>
        </w:rPr>
        <w:t>s</w:t>
      </w:r>
      <w:r w:rsidRPr="0056155D">
        <w:rPr>
          <w:lang w:val="en-US"/>
        </w:rPr>
        <w:t xml:space="preserve"> environmental and social </w:t>
      </w:r>
      <w:r w:rsidR="008E075C" w:rsidRPr="0056155D">
        <w:rPr>
          <w:lang w:val="en-US"/>
        </w:rPr>
        <w:t>objectivities</w:t>
      </w:r>
      <w:r w:rsidRPr="0056155D">
        <w:rPr>
          <w:lang w:val="en-US"/>
        </w:rPr>
        <w:t xml:space="preserve"> to ensure the area is more investable in the long ter</w:t>
      </w:r>
      <w:r w:rsidR="00A1686B" w:rsidRPr="0056155D">
        <w:rPr>
          <w:lang w:val="en-US"/>
        </w:rPr>
        <w:t>m</w:t>
      </w:r>
      <w:r w:rsidR="00DB4744" w:rsidRPr="0056155D">
        <w:rPr>
          <w:lang w:val="en-US"/>
        </w:rPr>
        <w:t>.</w:t>
      </w:r>
    </w:p>
    <w:p w14:paraId="2F709566" w14:textId="11BDE6B1" w:rsidR="003F1A23" w:rsidRPr="0056155D" w:rsidRDefault="003F1A23" w:rsidP="00777F5C">
      <w:pPr>
        <w:pStyle w:val="RDBullet"/>
        <w:keepNext/>
        <w:spacing w:before="240"/>
        <w:rPr>
          <w:lang w:val="en-US"/>
        </w:rPr>
      </w:pPr>
      <w:r w:rsidRPr="0056155D">
        <w:rPr>
          <w:b/>
          <w:lang w:val="en-US"/>
        </w:rPr>
        <w:t xml:space="preserve">Enhance </w:t>
      </w:r>
      <w:r w:rsidR="00AB2247" w:rsidRPr="0056155D">
        <w:rPr>
          <w:b/>
          <w:lang w:val="en-US"/>
        </w:rPr>
        <w:t>e</w:t>
      </w:r>
      <w:r w:rsidRPr="0056155D">
        <w:rPr>
          <w:b/>
          <w:lang w:val="en-US"/>
        </w:rPr>
        <w:t xml:space="preserve">xisting </w:t>
      </w:r>
      <w:r w:rsidR="00AB2247" w:rsidRPr="0056155D">
        <w:rPr>
          <w:b/>
          <w:lang w:val="en-US"/>
        </w:rPr>
        <w:t>a</w:t>
      </w:r>
      <w:r w:rsidRPr="0056155D">
        <w:rPr>
          <w:b/>
          <w:lang w:val="en-US"/>
        </w:rPr>
        <w:t>ssets</w:t>
      </w:r>
      <w:r w:rsidR="00A1686B" w:rsidRPr="0056155D">
        <w:rPr>
          <w:b/>
          <w:lang w:val="en-US"/>
        </w:rPr>
        <w:t>.</w:t>
      </w:r>
      <w:r w:rsidRPr="0056155D">
        <w:rPr>
          <w:lang w:val="en-US"/>
        </w:rPr>
        <w:t xml:space="preserve"> There are already existing, under</w:t>
      </w:r>
      <w:r w:rsidR="00A1686B" w:rsidRPr="0056155D">
        <w:rPr>
          <w:lang w:val="en-US"/>
        </w:rPr>
        <w:t>-</w:t>
      </w:r>
      <w:r w:rsidRPr="0056155D">
        <w:rPr>
          <w:lang w:val="en-US"/>
        </w:rPr>
        <w:t xml:space="preserve">utilised assets in the Royal Docks, many of which are in public ownership. These should be deployed alongside new spaces to maximised the </w:t>
      </w:r>
      <w:r w:rsidR="002B7CAF" w:rsidRPr="0056155D">
        <w:rPr>
          <w:lang w:val="en-US"/>
        </w:rPr>
        <w:t>short-term</w:t>
      </w:r>
      <w:r w:rsidRPr="0056155D">
        <w:rPr>
          <w:lang w:val="en-US"/>
        </w:rPr>
        <w:t xml:space="preserve"> capacity and </w:t>
      </w:r>
      <w:r w:rsidR="00A1686B" w:rsidRPr="0056155D">
        <w:rPr>
          <w:lang w:val="en-US"/>
        </w:rPr>
        <w:t>opportunity</w:t>
      </w:r>
      <w:r w:rsidRPr="0056155D">
        <w:rPr>
          <w:lang w:val="en-US"/>
        </w:rPr>
        <w:t xml:space="preserve"> for </w:t>
      </w:r>
      <w:r w:rsidR="00A1686B" w:rsidRPr="0056155D">
        <w:rPr>
          <w:lang w:val="en-US"/>
        </w:rPr>
        <w:t>action</w:t>
      </w:r>
      <w:r w:rsidR="002C287C" w:rsidRPr="0056155D">
        <w:rPr>
          <w:lang w:val="en-US"/>
        </w:rPr>
        <w:t>.</w:t>
      </w:r>
    </w:p>
    <w:p w14:paraId="26BD0616" w14:textId="1DF04440" w:rsidR="00787161" w:rsidRPr="0056155D" w:rsidRDefault="00A1686B" w:rsidP="00A1686B">
      <w:pPr>
        <w:pStyle w:val="RDBullet"/>
      </w:pPr>
      <w:r w:rsidRPr="0056155D">
        <w:rPr>
          <w:b/>
          <w:lang w:val="en-US"/>
        </w:rPr>
        <w:t>R</w:t>
      </w:r>
      <w:r w:rsidR="003F1A23" w:rsidRPr="0056155D">
        <w:rPr>
          <w:b/>
          <w:lang w:val="en-US"/>
        </w:rPr>
        <w:t>emain Footloose and Agile</w:t>
      </w:r>
      <w:r w:rsidRPr="0056155D">
        <w:rPr>
          <w:b/>
          <w:lang w:val="en-US"/>
        </w:rPr>
        <w:t>.</w:t>
      </w:r>
      <w:r w:rsidR="003F1A23" w:rsidRPr="0056155D">
        <w:rPr>
          <w:lang w:val="en-US"/>
        </w:rPr>
        <w:t xml:space="preserve"> The next five years are likely to be one of significant uncertainty. It is important that partners remain aware of </w:t>
      </w:r>
      <w:r w:rsidRPr="0056155D">
        <w:rPr>
          <w:lang w:val="en-US"/>
        </w:rPr>
        <w:t>broader</w:t>
      </w:r>
      <w:r w:rsidR="003F1A23" w:rsidRPr="0056155D">
        <w:rPr>
          <w:lang w:val="en-US"/>
        </w:rPr>
        <w:t xml:space="preserve"> economic and social trends (positive and negative) and are able to respond appropriately</w:t>
      </w:r>
      <w:r w:rsidR="002C287C" w:rsidRPr="0056155D">
        <w:rPr>
          <w:lang w:val="en-US"/>
        </w:rPr>
        <w:t>.</w:t>
      </w:r>
      <w:r w:rsidR="00787161" w:rsidRPr="0056155D">
        <w:tab/>
      </w:r>
    </w:p>
    <w:p w14:paraId="75D82B66" w14:textId="0447B15E" w:rsidR="008E075C" w:rsidRPr="0056155D" w:rsidRDefault="008E075C" w:rsidP="008E075C">
      <w:pPr>
        <w:pStyle w:val="RDBullet"/>
        <w:keepNext/>
        <w:spacing w:before="240"/>
        <w:rPr>
          <w:lang w:val="en-US"/>
        </w:rPr>
      </w:pPr>
      <w:r w:rsidRPr="0056155D">
        <w:rPr>
          <w:b/>
          <w:lang w:val="en-US"/>
        </w:rPr>
        <w:lastRenderedPageBreak/>
        <w:t xml:space="preserve">Communicate and </w:t>
      </w:r>
      <w:r w:rsidR="00A1686B" w:rsidRPr="0056155D">
        <w:rPr>
          <w:b/>
          <w:lang w:val="en-US"/>
        </w:rPr>
        <w:t>R</w:t>
      </w:r>
      <w:r w:rsidRPr="0056155D">
        <w:rPr>
          <w:b/>
          <w:lang w:val="en-US"/>
        </w:rPr>
        <w:t xml:space="preserve">eport </w:t>
      </w:r>
      <w:r w:rsidR="00A1686B" w:rsidRPr="0056155D">
        <w:rPr>
          <w:b/>
          <w:lang w:val="en-US"/>
        </w:rPr>
        <w:t>B</w:t>
      </w:r>
      <w:r w:rsidRPr="0056155D">
        <w:rPr>
          <w:b/>
          <w:lang w:val="en-US"/>
        </w:rPr>
        <w:t xml:space="preserve">ack. </w:t>
      </w:r>
      <w:r w:rsidRPr="0056155D">
        <w:rPr>
          <w:lang w:val="en-US"/>
        </w:rPr>
        <w:t>Many of the adaptation in projects focus upon enabling innovation and testing of new ideas. To be successful this approach must gather insights and reflection to feed back to local partners and London as a whole</w:t>
      </w:r>
      <w:r w:rsidR="007727A3" w:rsidRPr="0056155D">
        <w:rPr>
          <w:lang w:val="en-US"/>
        </w:rPr>
        <w:t>.</w:t>
      </w:r>
    </w:p>
    <w:p w14:paraId="3A924454" w14:textId="77777777" w:rsidR="00E32B2B" w:rsidRPr="0056155D" w:rsidRDefault="00E32B2B" w:rsidP="007727A3">
      <w:pPr>
        <w:pStyle w:val="RDTier2"/>
        <w:rPr>
          <w:lang w:val="de-DE"/>
        </w:rPr>
      </w:pPr>
      <w:r w:rsidRPr="0056155D">
        <w:rPr>
          <w:lang w:val="de-DE"/>
        </w:rPr>
        <w:br w:type="page"/>
      </w:r>
    </w:p>
    <w:p w14:paraId="0AC4E9CC" w14:textId="16EDC459" w:rsidR="008E075C" w:rsidRPr="0056155D" w:rsidRDefault="00E32B2B" w:rsidP="007727A3">
      <w:pPr>
        <w:pStyle w:val="RDTier2"/>
        <w:rPr>
          <w:lang w:val="de-DE"/>
        </w:rPr>
      </w:pPr>
      <w:r w:rsidRPr="0056155D">
        <w:rPr>
          <w:lang w:val="de-DE"/>
        </w:rPr>
        <w:lastRenderedPageBreak/>
        <w:t>Tracking Change</w:t>
      </w:r>
    </w:p>
    <w:p w14:paraId="0A1D1707" w14:textId="1C62C92C" w:rsidR="00E32B2B" w:rsidRPr="0056155D" w:rsidRDefault="00E32B2B" w:rsidP="00E32B2B">
      <w:pPr>
        <w:pStyle w:val="RDBullet"/>
        <w:numPr>
          <w:ilvl w:val="0"/>
          <w:numId w:val="0"/>
        </w:numPr>
        <w:ind w:left="680"/>
        <w:rPr>
          <w:lang w:val="en-US"/>
        </w:rPr>
      </w:pPr>
      <w:r w:rsidRPr="0056155D">
        <w:rPr>
          <w:lang w:val="en-US"/>
        </w:rPr>
        <w:t>Understanding the efficiency and effectiveness of investment is essential for any public spending</w:t>
      </w:r>
      <w:r w:rsidR="002C287C" w:rsidRPr="0056155D">
        <w:rPr>
          <w:lang w:val="en-US"/>
        </w:rPr>
        <w:t xml:space="preserve"> decision</w:t>
      </w:r>
      <w:r w:rsidRPr="0056155D">
        <w:rPr>
          <w:lang w:val="en-US"/>
        </w:rPr>
        <w:t xml:space="preserve">. </w:t>
      </w:r>
      <w:r w:rsidR="00716830" w:rsidRPr="0056155D">
        <w:rPr>
          <w:lang w:val="en-US"/>
        </w:rPr>
        <w:t>This is particularly important for the Royal Docks</w:t>
      </w:r>
      <w:r w:rsidR="00203EFC" w:rsidRPr="0056155D">
        <w:rPr>
          <w:lang w:val="en-US"/>
        </w:rPr>
        <w:t xml:space="preserve"> </w:t>
      </w:r>
      <w:r w:rsidR="00716830" w:rsidRPr="0056155D">
        <w:rPr>
          <w:lang w:val="en-US"/>
        </w:rPr>
        <w:t>given its scale and strategic importance to London</w:t>
      </w:r>
      <w:r w:rsidR="00203EFC" w:rsidRPr="0056155D">
        <w:rPr>
          <w:lang w:val="en-US"/>
        </w:rPr>
        <w:t>. I</w:t>
      </w:r>
      <w:r w:rsidR="00716830" w:rsidRPr="0056155D">
        <w:rPr>
          <w:lang w:val="en-US"/>
        </w:rPr>
        <w:t xml:space="preserve">t is vital that robust mechanisms are put in place to ensure that </w:t>
      </w:r>
      <w:r w:rsidR="00107068" w:rsidRPr="0056155D">
        <w:rPr>
          <w:lang w:val="en-US"/>
        </w:rPr>
        <w:t>delivery</w:t>
      </w:r>
      <w:r w:rsidR="00F4283D" w:rsidRPr="0056155D">
        <w:rPr>
          <w:lang w:val="en-US"/>
        </w:rPr>
        <w:t xml:space="preserve"> performance</w:t>
      </w:r>
      <w:r w:rsidR="00107068" w:rsidRPr="0056155D">
        <w:rPr>
          <w:lang w:val="en-US"/>
        </w:rPr>
        <w:t xml:space="preserve"> </w:t>
      </w:r>
      <w:r w:rsidR="00716830" w:rsidRPr="0056155D">
        <w:rPr>
          <w:lang w:val="en-US"/>
        </w:rPr>
        <w:t>is understood.</w:t>
      </w:r>
      <w:r w:rsidR="00F4283D" w:rsidRPr="0056155D">
        <w:rPr>
          <w:lang w:val="en-US"/>
        </w:rPr>
        <w:t xml:space="preserve"> This means developing an</w:t>
      </w:r>
      <w:r w:rsidRPr="0056155D">
        <w:rPr>
          <w:lang w:val="en-US"/>
        </w:rPr>
        <w:t xml:space="preserve"> embedded approach to </w:t>
      </w:r>
      <w:r w:rsidR="00721640" w:rsidRPr="0056155D">
        <w:rPr>
          <w:lang w:val="en-US"/>
        </w:rPr>
        <w:t xml:space="preserve">collecting </w:t>
      </w:r>
      <w:r w:rsidR="00107068" w:rsidRPr="0056155D">
        <w:rPr>
          <w:lang w:val="en-US"/>
        </w:rPr>
        <w:t xml:space="preserve">robust and granular </w:t>
      </w:r>
      <w:r w:rsidR="00721640" w:rsidRPr="0056155D">
        <w:rPr>
          <w:lang w:val="en-US"/>
        </w:rPr>
        <w:t>information on ‘change’</w:t>
      </w:r>
      <w:r w:rsidRPr="0056155D">
        <w:rPr>
          <w:lang w:val="en-US"/>
        </w:rPr>
        <w:t xml:space="preserve"> which can be used to:</w:t>
      </w:r>
    </w:p>
    <w:p w14:paraId="19092D4E" w14:textId="77777777" w:rsidR="00E32B2B" w:rsidRPr="0056155D" w:rsidRDefault="00E32B2B" w:rsidP="00721640">
      <w:pPr>
        <w:pStyle w:val="RDBullet"/>
      </w:pPr>
      <w:r w:rsidRPr="0056155D">
        <w:t xml:space="preserve">Tailor delivery to maximise value and impact </w:t>
      </w:r>
    </w:p>
    <w:p w14:paraId="101BC0F0" w14:textId="77777777" w:rsidR="00E32B2B" w:rsidRPr="0056155D" w:rsidRDefault="00E32B2B" w:rsidP="00721640">
      <w:pPr>
        <w:pStyle w:val="RDBullet"/>
      </w:pPr>
      <w:r w:rsidRPr="0056155D">
        <w:t>Learn lessons for future delivery (both in terms of the targeting and focus of investment)</w:t>
      </w:r>
    </w:p>
    <w:p w14:paraId="13C56220" w14:textId="77777777" w:rsidR="00E32B2B" w:rsidRPr="0056155D" w:rsidRDefault="00E32B2B" w:rsidP="00721640">
      <w:pPr>
        <w:pStyle w:val="RDBullet"/>
      </w:pPr>
      <w:r w:rsidRPr="0056155D">
        <w:t>Celebrate achievements and successes</w:t>
      </w:r>
    </w:p>
    <w:p w14:paraId="16521C2D" w14:textId="77777777" w:rsidR="00E32B2B" w:rsidRPr="0056155D" w:rsidRDefault="00E32B2B" w:rsidP="00721640">
      <w:pPr>
        <w:pStyle w:val="RDBullet"/>
      </w:pPr>
      <w:r w:rsidRPr="0056155D">
        <w:t xml:space="preserve">Support case making for future investment. </w:t>
      </w:r>
    </w:p>
    <w:p w14:paraId="5E7F69CE" w14:textId="713DC111" w:rsidR="00E32B2B" w:rsidRPr="0056155D" w:rsidRDefault="00E32B2B" w:rsidP="00E32B2B">
      <w:pPr>
        <w:pStyle w:val="RDBullet"/>
        <w:numPr>
          <w:ilvl w:val="0"/>
          <w:numId w:val="0"/>
        </w:numPr>
        <w:ind w:left="680"/>
        <w:rPr>
          <w:lang w:val="en-US"/>
        </w:rPr>
      </w:pPr>
      <w:r w:rsidRPr="0056155D">
        <w:rPr>
          <w:lang w:val="en-US"/>
        </w:rPr>
        <w:t xml:space="preserve">Given the long-term nature of the programme there is an important opportunity now to develop and invest in ‘best in class’ and innovative approaches to </w:t>
      </w:r>
      <w:r w:rsidR="006D312E" w:rsidRPr="0056155D">
        <w:rPr>
          <w:lang w:val="en-US"/>
        </w:rPr>
        <w:t>tracking change</w:t>
      </w:r>
      <w:r w:rsidRPr="0056155D">
        <w:rPr>
          <w:lang w:val="en-US"/>
        </w:rPr>
        <w:t xml:space="preserve">, which play an active role in shaping the ongoing evolution and transformation of the Docks. </w:t>
      </w:r>
    </w:p>
    <w:p w14:paraId="0A48FA98" w14:textId="77777777" w:rsidR="00EC09CD" w:rsidRDefault="00EC09CD" w:rsidP="00E32B2B">
      <w:pPr>
        <w:pStyle w:val="RDBullet"/>
        <w:numPr>
          <w:ilvl w:val="0"/>
          <w:numId w:val="0"/>
        </w:numPr>
        <w:ind w:left="680"/>
        <w:rPr>
          <w:lang w:val="en-US"/>
        </w:rPr>
        <w:sectPr w:rsidR="00EC09CD" w:rsidSect="00857831">
          <w:footerReference w:type="default" r:id="rId39"/>
          <w:pgSz w:w="11906" w:h="16838" w:code="9"/>
          <w:pgMar w:top="1418" w:right="1247" w:bottom="1588" w:left="1247" w:header="680" w:footer="340" w:gutter="0"/>
          <w:cols w:space="708"/>
          <w:docGrid w:linePitch="360"/>
        </w:sectPr>
      </w:pPr>
    </w:p>
    <w:p w14:paraId="10A410C0" w14:textId="264A4515" w:rsidR="00EC09CD" w:rsidRPr="00BF4154" w:rsidRDefault="00EC09CD" w:rsidP="00E32B2B">
      <w:pPr>
        <w:pStyle w:val="RDBullet"/>
        <w:numPr>
          <w:ilvl w:val="0"/>
          <w:numId w:val="0"/>
        </w:numPr>
        <w:ind w:left="680"/>
        <w:rPr>
          <w:lang w:val="en-US"/>
        </w:rPr>
      </w:pPr>
    </w:p>
    <w:p w14:paraId="6B47401A" w14:textId="77777777" w:rsidR="00E32B2B" w:rsidRPr="00E32B2B" w:rsidRDefault="00E32B2B" w:rsidP="007727A3">
      <w:pPr>
        <w:pStyle w:val="RDTier2"/>
        <w:rPr>
          <w:lang w:val="en-US"/>
        </w:rPr>
      </w:pPr>
    </w:p>
    <w:p w14:paraId="0F46373A" w14:textId="77777777" w:rsidR="00E32B2B" w:rsidRPr="00787161" w:rsidRDefault="00E32B2B" w:rsidP="007727A3">
      <w:pPr>
        <w:pStyle w:val="RDTier2"/>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9402"/>
      </w:tblGrid>
      <w:tr w:rsidR="00163F94" w:rsidRPr="006A6C26" w14:paraId="03421ADC" w14:textId="77777777" w:rsidTr="00BF4689">
        <w:trPr>
          <w:trHeight w:hRule="exact" w:val="8925"/>
        </w:trPr>
        <w:tc>
          <w:tcPr>
            <w:tcW w:w="9402" w:type="dxa"/>
          </w:tcPr>
          <w:p w14:paraId="799D70B8" w14:textId="060AFBD7" w:rsidR="00787161" w:rsidRPr="00787161" w:rsidRDefault="00787161" w:rsidP="00C3571D">
            <w:pPr>
              <w:ind w:right="198"/>
              <w:rPr>
                <w:rFonts w:ascii="Source Sans Pro" w:hAnsi="Source Sans Pro"/>
                <w:lang w:val="de-DE"/>
              </w:rPr>
            </w:pPr>
            <w:r>
              <w:tab/>
            </w:r>
            <w:bookmarkStart w:id="48" w:name="bmkBackPage"/>
            <w:bookmarkEnd w:id="48"/>
          </w:p>
          <w:p w14:paraId="79EB9FA6" w14:textId="1C1CCAE6" w:rsidR="00787161" w:rsidRDefault="00787161" w:rsidP="00787161">
            <w:pPr>
              <w:rPr>
                <w:rFonts w:ascii="Source Sans Pro" w:hAnsi="Source Sans Pro"/>
              </w:rPr>
            </w:pPr>
          </w:p>
          <w:p w14:paraId="54E450C3" w14:textId="301CEFC7" w:rsidR="00787161" w:rsidRDefault="00787161" w:rsidP="00C3571D">
            <w:pPr>
              <w:ind w:right="198"/>
              <w:rPr>
                <w:noProof/>
              </w:rPr>
            </w:pPr>
            <w:r>
              <w:rPr>
                <w:rFonts w:ascii="Source Sans Pro" w:hAnsi="Source Sans Pro"/>
              </w:rPr>
              <w:tab/>
            </w:r>
          </w:p>
        </w:tc>
      </w:tr>
    </w:tbl>
    <w:p w14:paraId="1A0D227F" w14:textId="1D6743E0" w:rsidR="009578C6" w:rsidRPr="00787161" w:rsidRDefault="009578C6" w:rsidP="00C3571D">
      <w:pPr>
        <w:ind w:right="198"/>
        <w:rPr>
          <w:rFonts w:ascii="Source Sans Pro" w:hAnsi="Source Sans Pro"/>
          <w:lang w:val="en-US"/>
        </w:rPr>
      </w:pPr>
    </w:p>
    <w:p w14:paraId="04F11AF0" w14:textId="35FB634A" w:rsidR="00A36FDE" w:rsidRPr="00787161" w:rsidRDefault="00A36FDE" w:rsidP="00C3571D">
      <w:pPr>
        <w:ind w:right="198"/>
        <w:rPr>
          <w:rFonts w:ascii="Source Sans Pro" w:hAnsi="Source Sans Pro"/>
          <w:lang w:val="en-US"/>
        </w:rPr>
      </w:pPr>
    </w:p>
    <w:sectPr w:rsidR="00A36FDE" w:rsidRPr="00787161" w:rsidSect="0062209C">
      <w:headerReference w:type="default" r:id="rId40"/>
      <w:footerReference w:type="default" r:id="rId41"/>
      <w:pgSz w:w="11906" w:h="16838" w:code="9"/>
      <w:pgMar w:top="1418" w:right="1247" w:bottom="1588" w:left="1247" w:header="68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77E3B2" w14:textId="77777777" w:rsidR="006F3AC6" w:rsidRDefault="006F3AC6" w:rsidP="00D20711">
      <w:pPr>
        <w:spacing w:after="0"/>
      </w:pPr>
      <w:r>
        <w:separator/>
      </w:r>
    </w:p>
  </w:endnote>
  <w:endnote w:type="continuationSeparator" w:id="0">
    <w:p w14:paraId="78B85A40" w14:textId="77777777" w:rsidR="006F3AC6" w:rsidRDefault="006F3AC6" w:rsidP="00D20711">
      <w:pPr>
        <w:spacing w:after="0"/>
      </w:pPr>
      <w:r>
        <w:continuationSeparator/>
      </w:r>
    </w:p>
  </w:endnote>
  <w:endnote w:type="continuationNotice" w:id="1">
    <w:p w14:paraId="5466CA7A" w14:textId="77777777" w:rsidR="006F3AC6" w:rsidRDefault="006F3A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Neue-Light">
    <w:altName w:val="Arial"/>
    <w:panose1 w:val="00000000000000000000"/>
    <w:charset w:val="00"/>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Arial Bold">
    <w:altName w:val="Arial"/>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HelveticaNeueLT Pro 55 Roman">
    <w:altName w:val="HelveticaNeueLT Pro 55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Source Sans Pro Light">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195"/>
      <w:gridCol w:w="1021"/>
      <w:gridCol w:w="4196"/>
    </w:tblGrid>
    <w:tr w:rsidR="006F3AC6" w14:paraId="2794E177" w14:textId="77777777" w:rsidTr="00BF4689">
      <w:tc>
        <w:tcPr>
          <w:tcW w:w="4196" w:type="dxa"/>
          <w:vAlign w:val="bottom"/>
        </w:tcPr>
        <w:p w14:paraId="49B27335" w14:textId="1795D04E" w:rsidR="006F3AC6" w:rsidRPr="00E37A70" w:rsidRDefault="006F3AC6" w:rsidP="008522CA">
          <w:pPr>
            <w:pStyle w:val="FooterInfo"/>
            <w:rPr>
              <w:b/>
            </w:rPr>
          </w:pPr>
          <w:r w:rsidRPr="00A1673D">
            <w:rPr>
              <w:noProof/>
            </w:rPr>
            <w:fldChar w:fldCharType="begin"/>
          </w:r>
          <w:r w:rsidRPr="00A1673D">
            <w:rPr>
              <w:noProof/>
            </w:rPr>
            <w:instrText xml:space="preserve"> IF </w:instrText>
          </w:r>
          <w:r>
            <w:rPr>
              <w:noProof/>
            </w:rPr>
            <w:fldChar w:fldCharType="begin"/>
          </w:r>
          <w:r>
            <w:rPr>
              <w:noProof/>
            </w:rPr>
            <w:instrText xml:space="preserve"> DOCVARIABLE  FooterPandC  \* MERGEFORMAT </w:instrText>
          </w:r>
          <w:r>
            <w:rPr>
              <w:noProof/>
            </w:rPr>
            <w:fldChar w:fldCharType="separate"/>
          </w:r>
          <w:r w:rsidRPr="00F07F0B">
            <w:rPr>
              <w:b/>
              <w:bCs/>
              <w:noProof/>
              <w:lang w:val="en-US"/>
            </w:rPr>
            <w:instrText xml:space="preserve"> </w:instrText>
          </w:r>
          <w:r>
            <w:rPr>
              <w:noProof/>
            </w:rPr>
            <w:fldChar w:fldCharType="end"/>
          </w:r>
          <w:r w:rsidRPr="00A1673D">
            <w:rPr>
              <w:noProof/>
            </w:rPr>
            <w:instrText xml:space="preserve"> = "Error! No document variable supplied." " " </w:instrText>
          </w:r>
          <w:r>
            <w:rPr>
              <w:noProof/>
            </w:rPr>
            <w:fldChar w:fldCharType="begin"/>
          </w:r>
          <w:r>
            <w:rPr>
              <w:noProof/>
            </w:rPr>
            <w:instrText xml:space="preserve"> DOCVARIABLE  FooterPandC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p w14:paraId="5DFA8A73" w14:textId="2FCBC69C" w:rsidR="006F3AC6" w:rsidRDefault="006F3AC6" w:rsidP="008522CA">
          <w:pPr>
            <w:pStyle w:val="FooterInfo"/>
          </w:pPr>
          <w:r w:rsidRPr="00A1673D">
            <w:rPr>
              <w:noProof/>
            </w:rPr>
            <w:fldChar w:fldCharType="begin"/>
          </w:r>
          <w:r w:rsidRPr="00A1673D">
            <w:rPr>
              <w:noProof/>
            </w:rPr>
            <w:instrText xml:space="preserve"> IF </w:instrText>
          </w:r>
          <w:r>
            <w:rPr>
              <w:noProof/>
            </w:rPr>
            <w:fldChar w:fldCharType="begin"/>
          </w:r>
          <w:r>
            <w:rPr>
              <w:noProof/>
            </w:rPr>
            <w:instrText xml:space="preserve"> DOCVARIABLE  FooterText  \* MERGEFORMAT </w:instrText>
          </w:r>
          <w:r>
            <w:rPr>
              <w:noProof/>
            </w:rPr>
            <w:fldChar w:fldCharType="separate"/>
          </w:r>
          <w:r>
            <w:rPr>
              <w:b/>
              <w:bCs/>
              <w:noProof/>
              <w:lang w:val="en-US"/>
            </w:rPr>
            <w:instrText>Error! No document variable supplied.</w:instrText>
          </w:r>
          <w:r>
            <w:rPr>
              <w:noProof/>
            </w:rPr>
            <w:fldChar w:fldCharType="end"/>
          </w:r>
          <w:r w:rsidRPr="00A1673D">
            <w:rPr>
              <w:noProof/>
            </w:rPr>
            <w:instrText xml:space="preserve"> = "Error! No document variable supplied." " " </w:instrText>
          </w:r>
          <w:r>
            <w:rPr>
              <w:noProof/>
            </w:rPr>
            <w:fldChar w:fldCharType="begin"/>
          </w:r>
          <w:r>
            <w:rPr>
              <w:noProof/>
            </w:rPr>
            <w:instrText xml:space="preserve"> DOCVARIABLE  FooterText \* MERGEFORMAT </w:instrText>
          </w:r>
          <w:r>
            <w:rPr>
              <w:noProof/>
            </w:rPr>
            <w:fldChar w:fldCharType="separate"/>
          </w:r>
          <w:r>
            <w:rPr>
              <w:noProof/>
            </w:rPr>
            <w:instrText>#Other text</w:instrText>
          </w:r>
          <w:r>
            <w:rPr>
              <w:noProof/>
            </w:rPr>
            <w:fldChar w:fldCharType="end"/>
          </w:r>
          <w:r w:rsidRPr="00A1673D">
            <w:rPr>
              <w:noProof/>
            </w:rPr>
            <w:instrText xml:space="preserve"> \* MERGEFORMAT </w:instrText>
          </w:r>
          <w:r w:rsidRPr="00A1673D">
            <w:rPr>
              <w:noProof/>
            </w:rPr>
            <w:fldChar w:fldCharType="separate"/>
          </w:r>
          <w:r w:rsidR="00A92D74" w:rsidRPr="00A1673D">
            <w:rPr>
              <w:noProof/>
            </w:rPr>
            <w:t xml:space="preserve"> </w:t>
          </w:r>
          <w:r w:rsidRPr="00A1673D">
            <w:rPr>
              <w:noProof/>
            </w:rPr>
            <w:fldChar w:fldCharType="end"/>
          </w:r>
        </w:p>
      </w:tc>
      <w:tc>
        <w:tcPr>
          <w:tcW w:w="1021" w:type="dxa"/>
          <w:vAlign w:val="bottom"/>
        </w:tcPr>
        <w:p w14:paraId="6F9E4194" w14:textId="77777777" w:rsidR="006F3AC6" w:rsidRDefault="006F3AC6" w:rsidP="008522CA">
          <w:pPr>
            <w:pStyle w:val="Footer"/>
          </w:pPr>
          <w:sdt>
            <w:sdtPr>
              <w:id w:val="-1266988780"/>
              <w:docPartObj>
                <w:docPartGallery w:val="Page Numbers (Bottom of Page)"/>
                <w:docPartUnique/>
              </w:docPartObj>
            </w:sdtPr>
            <w:sdtEndPr>
              <w:rPr>
                <w:noProof/>
                <w:sz w:val="28"/>
              </w:rPr>
            </w:sdtEndPr>
            <w:sdtContent>
              <w:r w:rsidRPr="00426D17">
                <w:fldChar w:fldCharType="begin"/>
              </w:r>
              <w:r w:rsidRPr="00426D17">
                <w:instrText xml:space="preserve"> PAGE   \* MERGEFORMAT </w:instrText>
              </w:r>
              <w:r w:rsidRPr="00426D17">
                <w:fldChar w:fldCharType="separate"/>
              </w:r>
              <w:r>
                <w:rPr>
                  <w:noProof/>
                </w:rPr>
                <w:t>1</w:t>
              </w:r>
              <w:r w:rsidRPr="00426D17">
                <w:fldChar w:fldCharType="end"/>
              </w:r>
            </w:sdtContent>
          </w:sdt>
        </w:p>
      </w:tc>
      <w:tc>
        <w:tcPr>
          <w:tcW w:w="4196" w:type="dxa"/>
          <w:vAlign w:val="bottom"/>
        </w:tcPr>
        <w:p w14:paraId="2546C8DF" w14:textId="77777777" w:rsidR="006F3AC6" w:rsidRDefault="006F3AC6" w:rsidP="007706AC">
          <w:pPr>
            <w:pStyle w:val="Footer"/>
            <w:ind w:right="28"/>
            <w:jc w:val="right"/>
          </w:pPr>
          <w:r>
            <w:rPr>
              <w:noProof/>
              <w:snapToGrid/>
            </w:rPr>
            <w:drawing>
              <wp:inline distT="0" distB="0" distL="0" distR="0" wp14:anchorId="5B7696A8" wp14:editId="6F7E8D09">
                <wp:extent cx="1321200" cy="304321"/>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1200" cy="304321"/>
                        </a:xfrm>
                        <a:prstGeom prst="rect">
                          <a:avLst/>
                        </a:prstGeom>
                      </pic:spPr>
                    </pic:pic>
                  </a:graphicData>
                </a:graphic>
              </wp:inline>
            </w:drawing>
          </w:r>
        </w:p>
      </w:tc>
    </w:tr>
  </w:tbl>
  <w:p w14:paraId="159A4C87" w14:textId="77777777" w:rsidR="006F3AC6" w:rsidRDefault="006F3AC6" w:rsidP="008522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195"/>
      <w:gridCol w:w="1021"/>
      <w:gridCol w:w="4196"/>
    </w:tblGrid>
    <w:tr w:rsidR="006F3AC6" w14:paraId="0E5BD056" w14:textId="77777777" w:rsidTr="00BF4689">
      <w:tc>
        <w:tcPr>
          <w:tcW w:w="4196" w:type="dxa"/>
          <w:vAlign w:val="bottom"/>
        </w:tcPr>
        <w:p w14:paraId="335955EE" w14:textId="631CC698" w:rsidR="006F3AC6" w:rsidRPr="00E37A70" w:rsidRDefault="006F3AC6" w:rsidP="008522CA">
          <w:pPr>
            <w:pStyle w:val="FooterInfo"/>
            <w:rPr>
              <w:b/>
            </w:rPr>
          </w:pPr>
          <w:r w:rsidRPr="00A1673D">
            <w:rPr>
              <w:noProof/>
            </w:rPr>
            <w:fldChar w:fldCharType="begin"/>
          </w:r>
          <w:r w:rsidRPr="00A1673D">
            <w:rPr>
              <w:noProof/>
            </w:rPr>
            <w:instrText xml:space="preserve"> IF </w:instrText>
          </w:r>
          <w:r>
            <w:rPr>
              <w:noProof/>
            </w:rPr>
            <w:fldChar w:fldCharType="begin"/>
          </w:r>
          <w:r>
            <w:rPr>
              <w:noProof/>
            </w:rPr>
            <w:instrText xml:space="preserve"> DOCVARIABLE  FooterPandC  \* MERGEFORMAT </w:instrText>
          </w:r>
          <w:r>
            <w:rPr>
              <w:noProof/>
            </w:rPr>
            <w:fldChar w:fldCharType="separate"/>
          </w:r>
          <w:r w:rsidRPr="00F07F0B">
            <w:rPr>
              <w:b/>
              <w:bCs/>
              <w:noProof/>
              <w:lang w:val="en-US"/>
            </w:rPr>
            <w:instrText xml:space="preserve"> </w:instrText>
          </w:r>
          <w:r>
            <w:rPr>
              <w:noProof/>
            </w:rPr>
            <w:fldChar w:fldCharType="end"/>
          </w:r>
          <w:r w:rsidRPr="00A1673D">
            <w:rPr>
              <w:noProof/>
            </w:rPr>
            <w:instrText xml:space="preserve"> = "Error! No document variable supplied." " " </w:instrText>
          </w:r>
          <w:r>
            <w:rPr>
              <w:noProof/>
            </w:rPr>
            <w:fldChar w:fldCharType="begin"/>
          </w:r>
          <w:r>
            <w:rPr>
              <w:noProof/>
            </w:rPr>
            <w:instrText xml:space="preserve"> DOCVARIABLE  FooterPandC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p w14:paraId="05426621" w14:textId="63841D77" w:rsidR="006F3AC6" w:rsidRDefault="006F3AC6" w:rsidP="008522CA">
          <w:pPr>
            <w:pStyle w:val="FooterInfo"/>
          </w:pPr>
          <w:r w:rsidRPr="00A1673D">
            <w:rPr>
              <w:noProof/>
            </w:rPr>
            <w:fldChar w:fldCharType="begin"/>
          </w:r>
          <w:r w:rsidRPr="00A1673D">
            <w:rPr>
              <w:noProof/>
            </w:rPr>
            <w:instrText xml:space="preserve"> IF </w:instrText>
          </w:r>
          <w:r>
            <w:rPr>
              <w:noProof/>
            </w:rPr>
            <w:fldChar w:fldCharType="begin"/>
          </w:r>
          <w:r>
            <w:rPr>
              <w:noProof/>
            </w:rPr>
            <w:instrText xml:space="preserve"> DOCVARIABLE  FooterText  \* MERGEFORMAT </w:instrText>
          </w:r>
          <w:r>
            <w:rPr>
              <w:noProof/>
            </w:rPr>
            <w:fldChar w:fldCharType="separate"/>
          </w:r>
          <w:r>
            <w:rPr>
              <w:b/>
              <w:bCs/>
              <w:noProof/>
              <w:lang w:val="en-US"/>
            </w:rPr>
            <w:instrText>Error! No document variable supplied.</w:instrText>
          </w:r>
          <w:r>
            <w:rPr>
              <w:noProof/>
            </w:rPr>
            <w:fldChar w:fldCharType="end"/>
          </w:r>
          <w:r w:rsidRPr="00A1673D">
            <w:rPr>
              <w:noProof/>
            </w:rPr>
            <w:instrText xml:space="preserve"> = "Error! No document variable supplied." " " </w:instrText>
          </w:r>
          <w:r>
            <w:rPr>
              <w:noProof/>
            </w:rPr>
            <w:fldChar w:fldCharType="begin"/>
          </w:r>
          <w:r>
            <w:rPr>
              <w:noProof/>
            </w:rPr>
            <w:instrText xml:space="preserve"> DOCVARIABLE  FooterText \* MERGEFORMAT </w:instrText>
          </w:r>
          <w:r>
            <w:rPr>
              <w:noProof/>
            </w:rPr>
            <w:fldChar w:fldCharType="separate"/>
          </w:r>
          <w:r>
            <w:rPr>
              <w:noProof/>
            </w:rPr>
            <w:instrText>#Other text</w:instrText>
          </w:r>
          <w:r>
            <w:rPr>
              <w:noProof/>
            </w:rPr>
            <w:fldChar w:fldCharType="end"/>
          </w:r>
          <w:r w:rsidRPr="00A1673D">
            <w:rPr>
              <w:noProof/>
            </w:rPr>
            <w:instrText xml:space="preserve"> \* MERGEFORMAT </w:instrText>
          </w:r>
          <w:r w:rsidRPr="00A1673D">
            <w:rPr>
              <w:noProof/>
            </w:rPr>
            <w:fldChar w:fldCharType="separate"/>
          </w:r>
          <w:r w:rsidR="00A92D74" w:rsidRPr="00A1673D">
            <w:rPr>
              <w:noProof/>
            </w:rPr>
            <w:t xml:space="preserve"> </w:t>
          </w:r>
          <w:r w:rsidRPr="00A1673D">
            <w:rPr>
              <w:noProof/>
            </w:rPr>
            <w:fldChar w:fldCharType="end"/>
          </w:r>
        </w:p>
      </w:tc>
      <w:tc>
        <w:tcPr>
          <w:tcW w:w="1021" w:type="dxa"/>
          <w:vAlign w:val="bottom"/>
        </w:tcPr>
        <w:p w14:paraId="5F54AB38" w14:textId="77777777" w:rsidR="006F3AC6" w:rsidRDefault="006F3AC6" w:rsidP="008522CA">
          <w:pPr>
            <w:pStyle w:val="Footer"/>
          </w:pPr>
          <w:sdt>
            <w:sdtPr>
              <w:id w:val="1982501476"/>
              <w:docPartObj>
                <w:docPartGallery w:val="Page Numbers (Bottom of Page)"/>
                <w:docPartUnique/>
              </w:docPartObj>
            </w:sdtPr>
            <w:sdtEndPr>
              <w:rPr>
                <w:noProof/>
                <w:sz w:val="28"/>
              </w:rPr>
            </w:sdtEndPr>
            <w:sdtContent>
              <w:r w:rsidRPr="00426D17">
                <w:fldChar w:fldCharType="begin"/>
              </w:r>
              <w:r w:rsidRPr="00426D17">
                <w:instrText xml:space="preserve"> PAGE   \* MERGEFORMAT </w:instrText>
              </w:r>
              <w:r w:rsidRPr="00426D17">
                <w:fldChar w:fldCharType="separate"/>
              </w:r>
              <w:r>
                <w:rPr>
                  <w:noProof/>
                </w:rPr>
                <w:t>1</w:t>
              </w:r>
              <w:r w:rsidRPr="00426D17">
                <w:fldChar w:fldCharType="end"/>
              </w:r>
            </w:sdtContent>
          </w:sdt>
        </w:p>
      </w:tc>
      <w:tc>
        <w:tcPr>
          <w:tcW w:w="4196" w:type="dxa"/>
          <w:vAlign w:val="bottom"/>
        </w:tcPr>
        <w:p w14:paraId="4E397C21" w14:textId="77777777" w:rsidR="006F3AC6" w:rsidRDefault="006F3AC6" w:rsidP="007706AC">
          <w:pPr>
            <w:pStyle w:val="Footer"/>
            <w:ind w:right="28"/>
            <w:jc w:val="right"/>
          </w:pPr>
          <w:r>
            <w:rPr>
              <w:noProof/>
              <w:snapToGrid/>
            </w:rPr>
            <w:drawing>
              <wp:inline distT="0" distB="0" distL="0" distR="0" wp14:anchorId="01F32944" wp14:editId="6882BE89">
                <wp:extent cx="1321200" cy="30432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1200" cy="304321"/>
                        </a:xfrm>
                        <a:prstGeom prst="rect">
                          <a:avLst/>
                        </a:prstGeom>
                      </pic:spPr>
                    </pic:pic>
                  </a:graphicData>
                </a:graphic>
              </wp:inline>
            </w:drawing>
          </w:r>
        </w:p>
      </w:tc>
    </w:tr>
  </w:tbl>
  <w:p w14:paraId="73543E9E" w14:textId="77777777" w:rsidR="006F3AC6" w:rsidRDefault="006F3AC6" w:rsidP="008522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195"/>
      <w:gridCol w:w="1021"/>
      <w:gridCol w:w="4196"/>
    </w:tblGrid>
    <w:tr w:rsidR="006F3AC6" w14:paraId="322061C5" w14:textId="77777777" w:rsidTr="00BF4689">
      <w:tc>
        <w:tcPr>
          <w:tcW w:w="4196" w:type="dxa"/>
          <w:vAlign w:val="bottom"/>
        </w:tcPr>
        <w:p w14:paraId="2F14BEFD" w14:textId="7272263B" w:rsidR="006F3AC6" w:rsidRPr="00E37A70" w:rsidRDefault="006F3AC6" w:rsidP="008522CA">
          <w:pPr>
            <w:pStyle w:val="FooterInfo"/>
            <w:rPr>
              <w:b/>
            </w:rPr>
          </w:pPr>
          <w:r w:rsidRPr="00A1673D">
            <w:rPr>
              <w:noProof/>
            </w:rPr>
            <w:fldChar w:fldCharType="begin"/>
          </w:r>
          <w:r w:rsidRPr="00A1673D">
            <w:rPr>
              <w:noProof/>
            </w:rPr>
            <w:instrText xml:space="preserve"> IF </w:instrText>
          </w:r>
          <w:r>
            <w:rPr>
              <w:noProof/>
            </w:rPr>
            <w:fldChar w:fldCharType="begin"/>
          </w:r>
          <w:r>
            <w:rPr>
              <w:noProof/>
            </w:rPr>
            <w:instrText xml:space="preserve"> DOCVARIABLE  FooterPandC  \* MERGEFORMAT </w:instrText>
          </w:r>
          <w:r>
            <w:rPr>
              <w:noProof/>
            </w:rPr>
            <w:fldChar w:fldCharType="separate"/>
          </w:r>
          <w:r w:rsidRPr="00F07F0B">
            <w:rPr>
              <w:b/>
              <w:bCs/>
              <w:noProof/>
              <w:lang w:val="en-US"/>
            </w:rPr>
            <w:instrText xml:space="preserve"> </w:instrText>
          </w:r>
          <w:r>
            <w:rPr>
              <w:noProof/>
            </w:rPr>
            <w:fldChar w:fldCharType="end"/>
          </w:r>
          <w:r w:rsidRPr="00A1673D">
            <w:rPr>
              <w:noProof/>
            </w:rPr>
            <w:instrText xml:space="preserve"> = "Error! No document variable supplied." " " </w:instrText>
          </w:r>
          <w:r>
            <w:rPr>
              <w:noProof/>
            </w:rPr>
            <w:fldChar w:fldCharType="begin"/>
          </w:r>
          <w:r>
            <w:rPr>
              <w:noProof/>
            </w:rPr>
            <w:instrText xml:space="preserve"> DOCVARIABLE  FooterPandC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p w14:paraId="49EFBA04" w14:textId="3736D305" w:rsidR="006F3AC6" w:rsidRDefault="006F3AC6" w:rsidP="008522CA">
          <w:pPr>
            <w:pStyle w:val="FooterInfo"/>
          </w:pPr>
          <w:r w:rsidRPr="00A1673D">
            <w:rPr>
              <w:noProof/>
            </w:rPr>
            <w:fldChar w:fldCharType="begin"/>
          </w:r>
          <w:r w:rsidRPr="00A1673D">
            <w:rPr>
              <w:noProof/>
            </w:rPr>
            <w:instrText xml:space="preserve"> IF </w:instrText>
          </w:r>
          <w:r>
            <w:rPr>
              <w:noProof/>
            </w:rPr>
            <w:fldChar w:fldCharType="begin"/>
          </w:r>
          <w:r>
            <w:rPr>
              <w:noProof/>
            </w:rPr>
            <w:instrText xml:space="preserve"> DOCVARIABLE  FooterText  \* MERGEFORMAT </w:instrText>
          </w:r>
          <w:r>
            <w:rPr>
              <w:noProof/>
            </w:rPr>
            <w:fldChar w:fldCharType="separate"/>
          </w:r>
          <w:r>
            <w:rPr>
              <w:b/>
              <w:bCs/>
              <w:noProof/>
              <w:lang w:val="en-US"/>
            </w:rPr>
            <w:instrText>Error! No document variable supplied.</w:instrText>
          </w:r>
          <w:r>
            <w:rPr>
              <w:noProof/>
            </w:rPr>
            <w:fldChar w:fldCharType="end"/>
          </w:r>
          <w:r w:rsidRPr="00A1673D">
            <w:rPr>
              <w:noProof/>
            </w:rPr>
            <w:instrText xml:space="preserve"> = "Error! No document variable supplied." " " </w:instrText>
          </w:r>
          <w:r>
            <w:rPr>
              <w:noProof/>
            </w:rPr>
            <w:fldChar w:fldCharType="begin"/>
          </w:r>
          <w:r>
            <w:rPr>
              <w:noProof/>
            </w:rPr>
            <w:instrText xml:space="preserve"> DOCVARIABLE  FooterText \* MERGEFORMAT </w:instrText>
          </w:r>
          <w:r>
            <w:rPr>
              <w:noProof/>
            </w:rPr>
            <w:fldChar w:fldCharType="separate"/>
          </w:r>
          <w:r>
            <w:rPr>
              <w:noProof/>
            </w:rPr>
            <w:instrText>#Other text</w:instrText>
          </w:r>
          <w:r>
            <w:rPr>
              <w:noProof/>
            </w:rPr>
            <w:fldChar w:fldCharType="end"/>
          </w:r>
          <w:r w:rsidRPr="00A1673D">
            <w:rPr>
              <w:noProof/>
            </w:rPr>
            <w:instrText xml:space="preserve"> \* MERGEFORMAT </w:instrText>
          </w:r>
          <w:r w:rsidRPr="00A1673D">
            <w:rPr>
              <w:noProof/>
            </w:rPr>
            <w:fldChar w:fldCharType="separate"/>
          </w:r>
          <w:r w:rsidR="00185A28" w:rsidRPr="00A1673D">
            <w:rPr>
              <w:noProof/>
            </w:rPr>
            <w:t xml:space="preserve"> </w:t>
          </w:r>
          <w:r w:rsidRPr="00A1673D">
            <w:rPr>
              <w:noProof/>
            </w:rPr>
            <w:fldChar w:fldCharType="end"/>
          </w:r>
        </w:p>
      </w:tc>
      <w:tc>
        <w:tcPr>
          <w:tcW w:w="1021" w:type="dxa"/>
          <w:vAlign w:val="bottom"/>
        </w:tcPr>
        <w:p w14:paraId="0CBFF795" w14:textId="77777777" w:rsidR="006F3AC6" w:rsidRDefault="006F3AC6" w:rsidP="008522CA">
          <w:pPr>
            <w:pStyle w:val="Footer"/>
          </w:pPr>
          <w:sdt>
            <w:sdtPr>
              <w:id w:val="877512711"/>
              <w:docPartObj>
                <w:docPartGallery w:val="Page Numbers (Bottom of Page)"/>
                <w:docPartUnique/>
              </w:docPartObj>
            </w:sdtPr>
            <w:sdtEndPr>
              <w:rPr>
                <w:noProof/>
                <w:sz w:val="28"/>
              </w:rPr>
            </w:sdtEndPr>
            <w:sdtContent>
              <w:r w:rsidRPr="00426D17">
                <w:fldChar w:fldCharType="begin"/>
              </w:r>
              <w:r w:rsidRPr="00426D17">
                <w:instrText xml:space="preserve"> PAGE   \* MERGEFORMAT </w:instrText>
              </w:r>
              <w:r w:rsidRPr="00426D17">
                <w:fldChar w:fldCharType="separate"/>
              </w:r>
              <w:r>
                <w:rPr>
                  <w:noProof/>
                </w:rPr>
                <w:t>1</w:t>
              </w:r>
              <w:r w:rsidRPr="00426D17">
                <w:fldChar w:fldCharType="end"/>
              </w:r>
            </w:sdtContent>
          </w:sdt>
        </w:p>
      </w:tc>
      <w:tc>
        <w:tcPr>
          <w:tcW w:w="4196" w:type="dxa"/>
          <w:vAlign w:val="bottom"/>
        </w:tcPr>
        <w:p w14:paraId="3B89D796" w14:textId="77777777" w:rsidR="006F3AC6" w:rsidRDefault="006F3AC6" w:rsidP="007706AC">
          <w:pPr>
            <w:pStyle w:val="Footer"/>
            <w:ind w:right="28"/>
            <w:jc w:val="right"/>
          </w:pPr>
          <w:r>
            <w:rPr>
              <w:noProof/>
              <w:snapToGrid/>
            </w:rPr>
            <w:drawing>
              <wp:inline distT="0" distB="0" distL="0" distR="0" wp14:anchorId="651FD966" wp14:editId="11E41B90">
                <wp:extent cx="1321200" cy="304321"/>
                <wp:effectExtent l="0" t="0" r="0"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1200" cy="304321"/>
                        </a:xfrm>
                        <a:prstGeom prst="rect">
                          <a:avLst/>
                        </a:prstGeom>
                      </pic:spPr>
                    </pic:pic>
                  </a:graphicData>
                </a:graphic>
              </wp:inline>
            </w:drawing>
          </w:r>
        </w:p>
      </w:tc>
    </w:tr>
  </w:tbl>
  <w:p w14:paraId="1F5398F6" w14:textId="77777777" w:rsidR="006F3AC6" w:rsidRDefault="006F3AC6" w:rsidP="008522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195"/>
      <w:gridCol w:w="1021"/>
      <w:gridCol w:w="4196"/>
    </w:tblGrid>
    <w:tr w:rsidR="006F3AC6" w14:paraId="6B84B606" w14:textId="77777777" w:rsidTr="00BF4689">
      <w:tc>
        <w:tcPr>
          <w:tcW w:w="4196" w:type="dxa"/>
          <w:vAlign w:val="bottom"/>
        </w:tcPr>
        <w:p w14:paraId="22403A33" w14:textId="324ACD2E" w:rsidR="006F3AC6" w:rsidRPr="00E37A70" w:rsidRDefault="006F3AC6" w:rsidP="008522CA">
          <w:pPr>
            <w:pStyle w:val="FooterInfo"/>
            <w:rPr>
              <w:b/>
            </w:rPr>
          </w:pPr>
          <w:r w:rsidRPr="00A1673D">
            <w:rPr>
              <w:noProof/>
            </w:rPr>
            <w:fldChar w:fldCharType="begin"/>
          </w:r>
          <w:r w:rsidRPr="00A1673D">
            <w:rPr>
              <w:noProof/>
            </w:rPr>
            <w:instrText xml:space="preserve"> IF </w:instrText>
          </w:r>
          <w:r>
            <w:rPr>
              <w:noProof/>
            </w:rPr>
            <w:fldChar w:fldCharType="begin"/>
          </w:r>
          <w:r>
            <w:rPr>
              <w:noProof/>
            </w:rPr>
            <w:instrText xml:space="preserve"> DOCVARIABLE  FooterPandC  \* MERGEFORMAT </w:instrText>
          </w:r>
          <w:r>
            <w:rPr>
              <w:noProof/>
            </w:rPr>
            <w:fldChar w:fldCharType="separate"/>
          </w:r>
          <w:r w:rsidRPr="00F07F0B">
            <w:rPr>
              <w:b/>
              <w:bCs/>
              <w:noProof/>
              <w:lang w:val="en-US"/>
            </w:rPr>
            <w:instrText xml:space="preserve"> </w:instrText>
          </w:r>
          <w:r>
            <w:rPr>
              <w:noProof/>
            </w:rPr>
            <w:fldChar w:fldCharType="end"/>
          </w:r>
          <w:r w:rsidRPr="00A1673D">
            <w:rPr>
              <w:noProof/>
            </w:rPr>
            <w:instrText xml:space="preserve"> = "Error! No document variable supplied." " " </w:instrText>
          </w:r>
          <w:r>
            <w:rPr>
              <w:noProof/>
            </w:rPr>
            <w:fldChar w:fldCharType="begin"/>
          </w:r>
          <w:r>
            <w:rPr>
              <w:noProof/>
            </w:rPr>
            <w:instrText xml:space="preserve"> DOCVARIABLE  FooterPandC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p w14:paraId="15056A28" w14:textId="3D974103" w:rsidR="006F3AC6" w:rsidRDefault="006F3AC6" w:rsidP="008522CA">
          <w:pPr>
            <w:pStyle w:val="FooterInfo"/>
          </w:pPr>
          <w:r w:rsidRPr="00A1673D">
            <w:rPr>
              <w:noProof/>
            </w:rPr>
            <w:fldChar w:fldCharType="begin"/>
          </w:r>
          <w:r w:rsidRPr="00A1673D">
            <w:rPr>
              <w:noProof/>
            </w:rPr>
            <w:instrText xml:space="preserve"> IF </w:instrText>
          </w:r>
          <w:r>
            <w:rPr>
              <w:noProof/>
            </w:rPr>
            <w:fldChar w:fldCharType="begin"/>
          </w:r>
          <w:r>
            <w:rPr>
              <w:noProof/>
            </w:rPr>
            <w:instrText xml:space="preserve"> DOCVARIABLE  FooterText  \* MERGEFORMAT </w:instrText>
          </w:r>
          <w:r>
            <w:rPr>
              <w:noProof/>
            </w:rPr>
            <w:fldChar w:fldCharType="separate"/>
          </w:r>
          <w:r>
            <w:rPr>
              <w:b/>
              <w:bCs/>
              <w:noProof/>
              <w:lang w:val="en-US"/>
            </w:rPr>
            <w:instrText>Error! No document variable supplied.</w:instrText>
          </w:r>
          <w:r>
            <w:rPr>
              <w:noProof/>
            </w:rPr>
            <w:fldChar w:fldCharType="end"/>
          </w:r>
          <w:r w:rsidRPr="00A1673D">
            <w:rPr>
              <w:noProof/>
            </w:rPr>
            <w:instrText xml:space="preserve"> = "Error! No document variable supplied." " " </w:instrText>
          </w:r>
          <w:r>
            <w:rPr>
              <w:noProof/>
            </w:rPr>
            <w:fldChar w:fldCharType="begin"/>
          </w:r>
          <w:r>
            <w:rPr>
              <w:noProof/>
            </w:rPr>
            <w:instrText xml:space="preserve"> DOCVARIABLE  FooterText \* MERGEFORMAT </w:instrText>
          </w:r>
          <w:r>
            <w:rPr>
              <w:noProof/>
            </w:rPr>
            <w:fldChar w:fldCharType="separate"/>
          </w:r>
          <w:r>
            <w:rPr>
              <w:noProof/>
            </w:rPr>
            <w:instrText>#Other text</w:instrText>
          </w:r>
          <w:r>
            <w:rPr>
              <w:noProof/>
            </w:rPr>
            <w:fldChar w:fldCharType="end"/>
          </w:r>
          <w:r w:rsidRPr="00A1673D">
            <w:rPr>
              <w:noProof/>
            </w:rPr>
            <w:instrText xml:space="preserve"> \* MERGEFORMAT </w:instrText>
          </w:r>
          <w:r w:rsidRPr="00A1673D">
            <w:rPr>
              <w:noProof/>
            </w:rPr>
            <w:fldChar w:fldCharType="separate"/>
          </w:r>
          <w:r w:rsidR="00185A28" w:rsidRPr="00A1673D">
            <w:rPr>
              <w:noProof/>
            </w:rPr>
            <w:t xml:space="preserve"> </w:t>
          </w:r>
          <w:r w:rsidRPr="00A1673D">
            <w:rPr>
              <w:noProof/>
            </w:rPr>
            <w:fldChar w:fldCharType="end"/>
          </w:r>
        </w:p>
      </w:tc>
      <w:tc>
        <w:tcPr>
          <w:tcW w:w="1021" w:type="dxa"/>
          <w:vAlign w:val="bottom"/>
        </w:tcPr>
        <w:p w14:paraId="0BC639C8" w14:textId="77777777" w:rsidR="006F3AC6" w:rsidRDefault="006F3AC6" w:rsidP="008522CA">
          <w:pPr>
            <w:pStyle w:val="Footer"/>
          </w:pPr>
          <w:sdt>
            <w:sdtPr>
              <w:id w:val="-891429391"/>
              <w:docPartObj>
                <w:docPartGallery w:val="Page Numbers (Bottom of Page)"/>
                <w:docPartUnique/>
              </w:docPartObj>
            </w:sdtPr>
            <w:sdtEndPr>
              <w:rPr>
                <w:noProof/>
                <w:sz w:val="28"/>
              </w:rPr>
            </w:sdtEndPr>
            <w:sdtContent>
              <w:r w:rsidRPr="00426D17">
                <w:fldChar w:fldCharType="begin"/>
              </w:r>
              <w:r w:rsidRPr="00426D17">
                <w:instrText xml:space="preserve"> PAGE   \* MERGEFORMAT </w:instrText>
              </w:r>
              <w:r w:rsidRPr="00426D17">
                <w:fldChar w:fldCharType="separate"/>
              </w:r>
              <w:r>
                <w:rPr>
                  <w:noProof/>
                </w:rPr>
                <w:t>1</w:t>
              </w:r>
              <w:r w:rsidRPr="00426D17">
                <w:fldChar w:fldCharType="end"/>
              </w:r>
            </w:sdtContent>
          </w:sdt>
        </w:p>
      </w:tc>
      <w:tc>
        <w:tcPr>
          <w:tcW w:w="4196" w:type="dxa"/>
          <w:vAlign w:val="bottom"/>
        </w:tcPr>
        <w:p w14:paraId="4EA35871" w14:textId="77777777" w:rsidR="006F3AC6" w:rsidRDefault="006F3AC6" w:rsidP="007706AC">
          <w:pPr>
            <w:pStyle w:val="Footer"/>
            <w:ind w:right="28"/>
            <w:jc w:val="right"/>
          </w:pPr>
          <w:r>
            <w:rPr>
              <w:noProof/>
              <w:snapToGrid/>
            </w:rPr>
            <w:drawing>
              <wp:inline distT="0" distB="0" distL="0" distR="0" wp14:anchorId="2BB259D2" wp14:editId="742C9285">
                <wp:extent cx="1321200" cy="30432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1200" cy="304321"/>
                        </a:xfrm>
                        <a:prstGeom prst="rect">
                          <a:avLst/>
                        </a:prstGeom>
                      </pic:spPr>
                    </pic:pic>
                  </a:graphicData>
                </a:graphic>
              </wp:inline>
            </w:drawing>
          </w:r>
        </w:p>
      </w:tc>
    </w:tr>
  </w:tbl>
  <w:p w14:paraId="5D47EF40" w14:textId="77777777" w:rsidR="006F3AC6" w:rsidRDefault="006F3AC6" w:rsidP="008522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195"/>
      <w:gridCol w:w="1021"/>
      <w:gridCol w:w="4196"/>
    </w:tblGrid>
    <w:tr w:rsidR="006F3AC6" w14:paraId="4626D006" w14:textId="77777777" w:rsidTr="00BF4689">
      <w:tc>
        <w:tcPr>
          <w:tcW w:w="4196" w:type="dxa"/>
          <w:vAlign w:val="bottom"/>
        </w:tcPr>
        <w:p w14:paraId="012BF6B9" w14:textId="2023664C" w:rsidR="006F3AC6" w:rsidRPr="00E37A70" w:rsidRDefault="006F3AC6" w:rsidP="008522CA">
          <w:pPr>
            <w:pStyle w:val="FooterInfo"/>
            <w:rPr>
              <w:b/>
            </w:rPr>
          </w:pPr>
          <w:r w:rsidRPr="00A1673D">
            <w:rPr>
              <w:noProof/>
            </w:rPr>
            <w:fldChar w:fldCharType="begin"/>
          </w:r>
          <w:r w:rsidRPr="00A1673D">
            <w:rPr>
              <w:noProof/>
            </w:rPr>
            <w:instrText xml:space="preserve"> IF </w:instrText>
          </w:r>
          <w:r>
            <w:rPr>
              <w:noProof/>
            </w:rPr>
            <w:fldChar w:fldCharType="begin"/>
          </w:r>
          <w:r>
            <w:rPr>
              <w:noProof/>
            </w:rPr>
            <w:instrText xml:space="preserve"> DOCVARIABLE  FooterPandC  \* MERGEFORMAT </w:instrText>
          </w:r>
          <w:r>
            <w:rPr>
              <w:noProof/>
            </w:rPr>
            <w:fldChar w:fldCharType="separate"/>
          </w:r>
          <w:r w:rsidRPr="00F07F0B">
            <w:rPr>
              <w:b/>
              <w:bCs/>
              <w:noProof/>
              <w:lang w:val="en-US"/>
            </w:rPr>
            <w:instrText xml:space="preserve"> </w:instrText>
          </w:r>
          <w:r>
            <w:rPr>
              <w:noProof/>
            </w:rPr>
            <w:fldChar w:fldCharType="end"/>
          </w:r>
          <w:r w:rsidRPr="00A1673D">
            <w:rPr>
              <w:noProof/>
            </w:rPr>
            <w:instrText xml:space="preserve"> = "Error! No document variable supplied." " " </w:instrText>
          </w:r>
          <w:r>
            <w:rPr>
              <w:noProof/>
            </w:rPr>
            <w:fldChar w:fldCharType="begin"/>
          </w:r>
          <w:r>
            <w:rPr>
              <w:noProof/>
            </w:rPr>
            <w:instrText xml:space="preserve"> DOCVARIABLE  FooterPandC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p w14:paraId="0EA4BCF9" w14:textId="2123FFC1" w:rsidR="006F3AC6" w:rsidRDefault="006F3AC6" w:rsidP="008522CA">
          <w:pPr>
            <w:pStyle w:val="FooterInfo"/>
          </w:pPr>
          <w:r w:rsidRPr="00A1673D">
            <w:rPr>
              <w:noProof/>
            </w:rPr>
            <w:fldChar w:fldCharType="begin"/>
          </w:r>
          <w:r w:rsidRPr="00A1673D">
            <w:rPr>
              <w:noProof/>
            </w:rPr>
            <w:instrText xml:space="preserve"> IF </w:instrText>
          </w:r>
          <w:r>
            <w:rPr>
              <w:noProof/>
            </w:rPr>
            <w:fldChar w:fldCharType="begin"/>
          </w:r>
          <w:r>
            <w:rPr>
              <w:noProof/>
            </w:rPr>
            <w:instrText xml:space="preserve"> DOCVARIABLE  FooterText  \* MERGEFORMAT </w:instrText>
          </w:r>
          <w:r>
            <w:rPr>
              <w:noProof/>
            </w:rPr>
            <w:fldChar w:fldCharType="separate"/>
          </w:r>
          <w:r>
            <w:rPr>
              <w:b/>
              <w:bCs/>
              <w:noProof/>
              <w:lang w:val="en-US"/>
            </w:rPr>
            <w:instrText>Error! No document variable supplied.</w:instrText>
          </w:r>
          <w:r>
            <w:rPr>
              <w:noProof/>
            </w:rPr>
            <w:fldChar w:fldCharType="end"/>
          </w:r>
          <w:r w:rsidRPr="00A1673D">
            <w:rPr>
              <w:noProof/>
            </w:rPr>
            <w:instrText xml:space="preserve"> = "Error! No document variable supplied." " " </w:instrText>
          </w:r>
          <w:r>
            <w:rPr>
              <w:noProof/>
            </w:rPr>
            <w:fldChar w:fldCharType="begin"/>
          </w:r>
          <w:r>
            <w:rPr>
              <w:noProof/>
            </w:rPr>
            <w:instrText xml:space="preserve"> DOCVARIABLE  FooterText \* MERGEFORMAT </w:instrText>
          </w:r>
          <w:r>
            <w:rPr>
              <w:noProof/>
            </w:rPr>
            <w:fldChar w:fldCharType="separate"/>
          </w:r>
          <w:r>
            <w:rPr>
              <w:noProof/>
            </w:rPr>
            <w:instrText>#Other text</w:instrText>
          </w:r>
          <w:r>
            <w:rPr>
              <w:noProof/>
            </w:rPr>
            <w:fldChar w:fldCharType="end"/>
          </w:r>
          <w:r w:rsidRPr="00A1673D">
            <w:rPr>
              <w:noProof/>
            </w:rPr>
            <w:instrText xml:space="preserve"> \* MERGEFORMAT </w:instrText>
          </w:r>
          <w:r w:rsidRPr="00A1673D">
            <w:rPr>
              <w:noProof/>
            </w:rPr>
            <w:fldChar w:fldCharType="separate"/>
          </w:r>
          <w:r w:rsidR="00185A28" w:rsidRPr="00A1673D">
            <w:rPr>
              <w:noProof/>
            </w:rPr>
            <w:t xml:space="preserve"> </w:t>
          </w:r>
          <w:r w:rsidRPr="00A1673D">
            <w:rPr>
              <w:noProof/>
            </w:rPr>
            <w:fldChar w:fldCharType="end"/>
          </w:r>
        </w:p>
      </w:tc>
      <w:tc>
        <w:tcPr>
          <w:tcW w:w="1021" w:type="dxa"/>
          <w:vAlign w:val="bottom"/>
        </w:tcPr>
        <w:p w14:paraId="60F264EA" w14:textId="77777777" w:rsidR="006F3AC6" w:rsidRDefault="006F3AC6" w:rsidP="008522CA">
          <w:pPr>
            <w:pStyle w:val="Footer"/>
          </w:pPr>
          <w:sdt>
            <w:sdtPr>
              <w:id w:val="-1809011895"/>
              <w:docPartObj>
                <w:docPartGallery w:val="Page Numbers (Bottom of Page)"/>
                <w:docPartUnique/>
              </w:docPartObj>
            </w:sdtPr>
            <w:sdtEndPr>
              <w:rPr>
                <w:noProof/>
                <w:sz w:val="28"/>
              </w:rPr>
            </w:sdtEndPr>
            <w:sdtContent>
              <w:r w:rsidRPr="00426D17">
                <w:fldChar w:fldCharType="begin"/>
              </w:r>
              <w:r w:rsidRPr="00426D17">
                <w:instrText xml:space="preserve"> PAGE   \* MERGEFORMAT </w:instrText>
              </w:r>
              <w:r w:rsidRPr="00426D17">
                <w:fldChar w:fldCharType="separate"/>
              </w:r>
              <w:r>
                <w:rPr>
                  <w:noProof/>
                </w:rPr>
                <w:t>1</w:t>
              </w:r>
              <w:r w:rsidRPr="00426D17">
                <w:fldChar w:fldCharType="end"/>
              </w:r>
            </w:sdtContent>
          </w:sdt>
        </w:p>
      </w:tc>
      <w:tc>
        <w:tcPr>
          <w:tcW w:w="4196" w:type="dxa"/>
          <w:vAlign w:val="bottom"/>
        </w:tcPr>
        <w:p w14:paraId="4E163CC9" w14:textId="77777777" w:rsidR="006F3AC6" w:rsidRDefault="006F3AC6" w:rsidP="007706AC">
          <w:pPr>
            <w:pStyle w:val="Footer"/>
            <w:ind w:right="28"/>
            <w:jc w:val="right"/>
          </w:pPr>
          <w:r>
            <w:rPr>
              <w:noProof/>
              <w:snapToGrid/>
            </w:rPr>
            <w:drawing>
              <wp:inline distT="0" distB="0" distL="0" distR="0" wp14:anchorId="64BB2B51" wp14:editId="7B79A21B">
                <wp:extent cx="1321200" cy="30432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1200" cy="304321"/>
                        </a:xfrm>
                        <a:prstGeom prst="rect">
                          <a:avLst/>
                        </a:prstGeom>
                      </pic:spPr>
                    </pic:pic>
                  </a:graphicData>
                </a:graphic>
              </wp:inline>
            </w:drawing>
          </w:r>
        </w:p>
      </w:tc>
    </w:tr>
  </w:tbl>
  <w:p w14:paraId="5A074A53" w14:textId="77777777" w:rsidR="006F3AC6" w:rsidRDefault="006F3AC6" w:rsidP="008522C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195"/>
      <w:gridCol w:w="1021"/>
      <w:gridCol w:w="4196"/>
    </w:tblGrid>
    <w:tr w:rsidR="006F3AC6" w14:paraId="74CD59A1" w14:textId="77777777" w:rsidTr="00BF4689">
      <w:tc>
        <w:tcPr>
          <w:tcW w:w="4196" w:type="dxa"/>
          <w:vAlign w:val="bottom"/>
        </w:tcPr>
        <w:p w14:paraId="3126CE8C" w14:textId="56377E4A" w:rsidR="006F3AC6" w:rsidRPr="00E37A70" w:rsidRDefault="006F3AC6" w:rsidP="008522CA">
          <w:pPr>
            <w:pStyle w:val="FooterInfo"/>
            <w:rPr>
              <w:b/>
            </w:rPr>
          </w:pPr>
          <w:r w:rsidRPr="00A1673D">
            <w:rPr>
              <w:noProof/>
            </w:rPr>
            <w:fldChar w:fldCharType="begin"/>
          </w:r>
          <w:r w:rsidRPr="00A1673D">
            <w:rPr>
              <w:noProof/>
            </w:rPr>
            <w:instrText xml:space="preserve"> IF </w:instrText>
          </w:r>
          <w:r>
            <w:rPr>
              <w:noProof/>
            </w:rPr>
            <w:fldChar w:fldCharType="begin"/>
          </w:r>
          <w:r>
            <w:rPr>
              <w:noProof/>
            </w:rPr>
            <w:instrText xml:space="preserve"> DOCVARIABLE  FooterPandC  \* MERGEFORMAT </w:instrText>
          </w:r>
          <w:r>
            <w:rPr>
              <w:noProof/>
            </w:rPr>
            <w:fldChar w:fldCharType="separate"/>
          </w:r>
          <w:r w:rsidRPr="00F07F0B">
            <w:rPr>
              <w:b/>
              <w:bCs/>
              <w:noProof/>
              <w:lang w:val="en-US"/>
            </w:rPr>
            <w:instrText xml:space="preserve"> </w:instrText>
          </w:r>
          <w:r>
            <w:rPr>
              <w:noProof/>
            </w:rPr>
            <w:fldChar w:fldCharType="end"/>
          </w:r>
          <w:r w:rsidRPr="00A1673D">
            <w:rPr>
              <w:noProof/>
            </w:rPr>
            <w:instrText xml:space="preserve"> = "Error! No document variable supplied." " " </w:instrText>
          </w:r>
          <w:r>
            <w:rPr>
              <w:noProof/>
            </w:rPr>
            <w:fldChar w:fldCharType="begin"/>
          </w:r>
          <w:r>
            <w:rPr>
              <w:noProof/>
            </w:rPr>
            <w:instrText xml:space="preserve"> DOCVARIABLE  FooterPandC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p w14:paraId="38CE933F" w14:textId="6B8A4C38" w:rsidR="006F3AC6" w:rsidRDefault="006F3AC6" w:rsidP="008522CA">
          <w:pPr>
            <w:pStyle w:val="FooterInfo"/>
          </w:pPr>
          <w:r w:rsidRPr="00A1673D">
            <w:rPr>
              <w:noProof/>
            </w:rPr>
            <w:fldChar w:fldCharType="begin"/>
          </w:r>
          <w:r w:rsidRPr="00A1673D">
            <w:rPr>
              <w:noProof/>
            </w:rPr>
            <w:instrText xml:space="preserve"> IF </w:instrText>
          </w:r>
          <w:r>
            <w:rPr>
              <w:noProof/>
            </w:rPr>
            <w:fldChar w:fldCharType="begin"/>
          </w:r>
          <w:r>
            <w:rPr>
              <w:noProof/>
            </w:rPr>
            <w:instrText xml:space="preserve"> DOCVARIABLE  FooterText  \* MERGEFORMAT </w:instrText>
          </w:r>
          <w:r>
            <w:rPr>
              <w:noProof/>
            </w:rPr>
            <w:fldChar w:fldCharType="separate"/>
          </w:r>
          <w:r>
            <w:rPr>
              <w:b/>
              <w:bCs/>
              <w:noProof/>
              <w:lang w:val="en-US"/>
            </w:rPr>
            <w:instrText>Error! No document variable supplied.</w:instrText>
          </w:r>
          <w:r>
            <w:rPr>
              <w:noProof/>
            </w:rPr>
            <w:fldChar w:fldCharType="end"/>
          </w:r>
          <w:r w:rsidRPr="00A1673D">
            <w:rPr>
              <w:noProof/>
            </w:rPr>
            <w:instrText xml:space="preserve"> = "Error! No document variable supplied." " " </w:instrText>
          </w:r>
          <w:r>
            <w:rPr>
              <w:noProof/>
            </w:rPr>
            <w:fldChar w:fldCharType="begin"/>
          </w:r>
          <w:r>
            <w:rPr>
              <w:noProof/>
            </w:rPr>
            <w:instrText xml:space="preserve"> DOCVARIABLE  FooterText \* MERGEFORMAT </w:instrText>
          </w:r>
          <w:r>
            <w:rPr>
              <w:noProof/>
            </w:rPr>
            <w:fldChar w:fldCharType="separate"/>
          </w:r>
          <w:r>
            <w:rPr>
              <w:noProof/>
            </w:rPr>
            <w:instrText>#Other text</w:instrText>
          </w:r>
          <w:r>
            <w:rPr>
              <w:noProof/>
            </w:rPr>
            <w:fldChar w:fldCharType="end"/>
          </w:r>
          <w:r w:rsidRPr="00A1673D">
            <w:rPr>
              <w:noProof/>
            </w:rPr>
            <w:instrText xml:space="preserve"> \* MERGEFORMAT </w:instrText>
          </w:r>
          <w:r w:rsidRPr="00A1673D">
            <w:rPr>
              <w:noProof/>
            </w:rPr>
            <w:fldChar w:fldCharType="separate"/>
          </w:r>
          <w:r w:rsidR="00185A28" w:rsidRPr="00A1673D">
            <w:rPr>
              <w:noProof/>
            </w:rPr>
            <w:t xml:space="preserve"> </w:t>
          </w:r>
          <w:r w:rsidRPr="00A1673D">
            <w:rPr>
              <w:noProof/>
            </w:rPr>
            <w:fldChar w:fldCharType="end"/>
          </w:r>
        </w:p>
      </w:tc>
      <w:tc>
        <w:tcPr>
          <w:tcW w:w="1021" w:type="dxa"/>
          <w:vAlign w:val="bottom"/>
        </w:tcPr>
        <w:p w14:paraId="67F3AF2D" w14:textId="77777777" w:rsidR="006F3AC6" w:rsidRDefault="006F3AC6" w:rsidP="008522CA">
          <w:pPr>
            <w:pStyle w:val="Footer"/>
          </w:pPr>
          <w:sdt>
            <w:sdtPr>
              <w:id w:val="961002154"/>
              <w:docPartObj>
                <w:docPartGallery w:val="Page Numbers (Bottom of Page)"/>
                <w:docPartUnique/>
              </w:docPartObj>
            </w:sdtPr>
            <w:sdtEndPr>
              <w:rPr>
                <w:noProof/>
                <w:sz w:val="28"/>
              </w:rPr>
            </w:sdtEndPr>
            <w:sdtContent>
              <w:r w:rsidRPr="00426D17">
                <w:fldChar w:fldCharType="begin"/>
              </w:r>
              <w:r w:rsidRPr="00426D17">
                <w:instrText xml:space="preserve"> PAGE   \* MERGEFORMAT </w:instrText>
              </w:r>
              <w:r w:rsidRPr="00426D17">
                <w:fldChar w:fldCharType="separate"/>
              </w:r>
              <w:r>
                <w:rPr>
                  <w:noProof/>
                </w:rPr>
                <w:t>1</w:t>
              </w:r>
              <w:r w:rsidRPr="00426D17">
                <w:fldChar w:fldCharType="end"/>
              </w:r>
            </w:sdtContent>
          </w:sdt>
        </w:p>
      </w:tc>
      <w:tc>
        <w:tcPr>
          <w:tcW w:w="4196" w:type="dxa"/>
          <w:vAlign w:val="bottom"/>
        </w:tcPr>
        <w:p w14:paraId="0A9442A5" w14:textId="77777777" w:rsidR="006F3AC6" w:rsidRDefault="006F3AC6" w:rsidP="007706AC">
          <w:pPr>
            <w:pStyle w:val="Footer"/>
            <w:ind w:right="28"/>
            <w:jc w:val="right"/>
          </w:pPr>
          <w:r>
            <w:rPr>
              <w:noProof/>
              <w:snapToGrid/>
            </w:rPr>
            <w:drawing>
              <wp:inline distT="0" distB="0" distL="0" distR="0" wp14:anchorId="2DADA328" wp14:editId="7958F31E">
                <wp:extent cx="1321200" cy="304321"/>
                <wp:effectExtent l="0" t="0" r="0" b="63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1200" cy="304321"/>
                        </a:xfrm>
                        <a:prstGeom prst="rect">
                          <a:avLst/>
                        </a:prstGeom>
                      </pic:spPr>
                    </pic:pic>
                  </a:graphicData>
                </a:graphic>
              </wp:inline>
            </w:drawing>
          </w:r>
        </w:p>
      </w:tc>
    </w:tr>
  </w:tbl>
  <w:p w14:paraId="04F45D58" w14:textId="77777777" w:rsidR="006F3AC6" w:rsidRDefault="006F3AC6" w:rsidP="008522C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2002D" w14:textId="77777777" w:rsidR="006F3AC6" w:rsidRPr="00612A65" w:rsidRDefault="006F3AC6" w:rsidP="00701608">
    <w:pPr>
      <w:pStyle w:val="DocBPTitle"/>
      <w:rPr>
        <w:color w:val="E84B37"/>
        <w:lang w:val="de-DE"/>
      </w:rPr>
    </w:pPr>
    <w:r w:rsidRPr="00612A65">
      <w:rPr>
        <w:color w:val="E84B37"/>
        <w:lang w:val="de-DE"/>
      </w:rPr>
      <w:t>www.hatchregeneris.com</w:t>
    </w:r>
  </w:p>
  <w:p w14:paraId="4357E214" w14:textId="77777777" w:rsidR="006F3AC6" w:rsidRDefault="006F3AC6" w:rsidP="00701608">
    <w:pPr>
      <w:pStyle w:val="DocBPText"/>
      <w:rPr>
        <w:lang w:val="de-DE"/>
      </w:rPr>
    </w:pPr>
    <w:r>
      <w:rPr>
        <w:lang w:val="de-DE"/>
      </w:rPr>
      <w:t>London: +44(0)207 336 6188</w:t>
    </w:r>
    <w:r>
      <w:rPr>
        <w:lang w:val="de-DE"/>
      </w:rPr>
      <w:tab/>
      <w:t>Manchester: +44(0)161 234 9910</w:t>
    </w:r>
  </w:p>
  <w:p w14:paraId="78B1E4A1" w14:textId="441DB93B" w:rsidR="006F3AC6" w:rsidRPr="00CF1BFA" w:rsidRDefault="006F3AC6" w:rsidP="00701608">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3B15D" w14:textId="77777777" w:rsidR="006F3AC6" w:rsidRPr="00AC3280" w:rsidRDefault="006F3AC6" w:rsidP="00AC3280">
      <w:pPr>
        <w:pStyle w:val="Footer"/>
        <w:rPr>
          <w:sz w:val="12"/>
          <w:szCs w:val="12"/>
        </w:rPr>
      </w:pPr>
    </w:p>
  </w:footnote>
  <w:footnote w:type="continuationSeparator" w:id="0">
    <w:p w14:paraId="621F1051" w14:textId="77777777" w:rsidR="006F3AC6" w:rsidRDefault="006F3AC6" w:rsidP="00D20711">
      <w:pPr>
        <w:spacing w:after="0"/>
      </w:pPr>
      <w:r>
        <w:continuationSeparator/>
      </w:r>
    </w:p>
  </w:footnote>
  <w:footnote w:type="continuationNotice" w:id="1">
    <w:p w14:paraId="16AC64AC" w14:textId="77777777" w:rsidR="006F3AC6" w:rsidRDefault="006F3AC6">
      <w:pPr>
        <w:spacing w:after="0"/>
      </w:pPr>
    </w:p>
  </w:footnote>
  <w:footnote w:id="2">
    <w:p w14:paraId="19FB5231" w14:textId="7825B826" w:rsidR="006F3AC6" w:rsidRDefault="006F3AC6">
      <w:pPr>
        <w:pStyle w:val="FootnoteText"/>
      </w:pPr>
      <w:r>
        <w:rPr>
          <w:rStyle w:val="FootnoteReference"/>
        </w:rPr>
        <w:footnoteRef/>
      </w:r>
      <w:r>
        <w:t xml:space="preserve"> </w:t>
      </w:r>
      <w:r w:rsidRPr="00D678CC">
        <w:rPr>
          <w:rFonts w:ascii="Source Sans Pro" w:hAnsi="Source Sans Pro"/>
          <w:sz w:val="16"/>
        </w:rPr>
        <w:t>Defined for statistical purposes throughout this chapter as the broader Royal Docks and Beckton Riverside OAPF Area (see figure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E0F8E" w14:textId="2920EDC6" w:rsidR="006F3AC6" w:rsidRPr="0004172B" w:rsidRDefault="006F3AC6">
    <w:pPr>
      <w:pStyle w:val="Header"/>
      <w:rPr>
        <w:rFonts w:ascii="Source Sans Pro" w:hAnsi="Source Sans Pro"/>
        <w:sz w:val="22"/>
      </w:rPr>
    </w:pPr>
    <w:r>
      <w:rPr>
        <w:rFonts w:ascii="Source Sans Pro" w:hAnsi="Source Sans Pro"/>
        <w:sz w:val="22"/>
      </w:rPr>
      <w:t>Royal Docks Economic Purpose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8F7AD" w14:textId="77777777" w:rsidR="006F3AC6" w:rsidRPr="00DD58F7" w:rsidRDefault="006F3AC6" w:rsidP="004850E2">
    <w:pPr>
      <w:pStyle w:val="Header"/>
    </w:pPr>
    <w:r>
      <w:rPr>
        <w:noProof/>
        <w:lang w:eastAsia="en-GB"/>
      </w:rPr>
      <w:drawing>
        <wp:anchor distT="0" distB="0" distL="114300" distR="114300" simplePos="0" relativeHeight="251658240" behindDoc="1" locked="0" layoutInCell="1" allowOverlap="1" wp14:anchorId="2CC68711" wp14:editId="57386912">
          <wp:simplePos x="0" y="0"/>
          <wp:positionH relativeFrom="column">
            <wp:posOffset>-15668</wp:posOffset>
          </wp:positionH>
          <wp:positionV relativeFrom="paragraph">
            <wp:posOffset>294330</wp:posOffset>
          </wp:positionV>
          <wp:extent cx="3258000" cy="750438"/>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58000" cy="75043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79257" w14:textId="77777777" w:rsidR="006F3AC6" w:rsidRPr="001F3931" w:rsidRDefault="006F3AC6" w:rsidP="004850E2">
    <w:pPr>
      <w:pStyle w:val="Header"/>
    </w:pPr>
    <w:r>
      <w:rPr>
        <w:noProof/>
        <w:lang w:eastAsia="en-GB"/>
      </w:rPr>
      <w:drawing>
        <wp:anchor distT="0" distB="0" distL="114300" distR="114300" simplePos="0" relativeHeight="251658241" behindDoc="1" locked="0" layoutInCell="1" allowOverlap="1" wp14:anchorId="667606C5" wp14:editId="58EE945F">
          <wp:simplePos x="0" y="0"/>
          <wp:positionH relativeFrom="column">
            <wp:posOffset>1357630</wp:posOffset>
          </wp:positionH>
          <wp:positionV relativeFrom="paragraph">
            <wp:posOffset>1008380</wp:posOffset>
          </wp:positionV>
          <wp:extent cx="3254400" cy="748800"/>
          <wp:effectExtent l="0" t="0" r="317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atch_Regeneris_logo-color cropp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54400" cy="74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560D1B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E7C29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F4631F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5EFA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0C4B3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58C1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4C2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76B4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1E76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3EB6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D1A7B"/>
    <w:multiLevelType w:val="multilevel"/>
    <w:tmpl w:val="0E18EACA"/>
    <w:styleLink w:val="NumbLstAnnex"/>
    <w:lvl w:ilvl="0">
      <w:start w:val="1"/>
      <w:numFmt w:val="upperLetter"/>
      <w:suff w:val="space"/>
      <w:lvlText w:val="Annexur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1D5F37"/>
    <w:multiLevelType w:val="multilevel"/>
    <w:tmpl w:val="EB9C87D4"/>
    <w:lvl w:ilvl="0">
      <w:start w:val="1"/>
      <w:numFmt w:val="bullet"/>
      <w:pStyle w:val="Bullets"/>
      <w:lvlText w:val=""/>
      <w:lvlJc w:val="left"/>
      <w:pPr>
        <w:tabs>
          <w:tab w:val="num" w:pos="936"/>
        </w:tabs>
        <w:ind w:left="936" w:hanging="360"/>
      </w:pPr>
      <w:rPr>
        <w:rFonts w:ascii="Symbol" w:hAnsi="Symbol" w:hint="default"/>
      </w:rPr>
    </w:lvl>
    <w:lvl w:ilvl="1">
      <w:start w:val="1"/>
      <w:numFmt w:val="bullet"/>
      <w:lvlText w:val="­"/>
      <w:lvlJc w:val="left"/>
      <w:pPr>
        <w:tabs>
          <w:tab w:val="num" w:pos="1296"/>
        </w:tabs>
        <w:ind w:left="1296" w:hanging="360"/>
      </w:pPr>
      <w:rPr>
        <w:rFonts w:ascii="Times New Roman" w:hAnsi="Times New Roman" w:hint="default"/>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1CF7594"/>
    <w:multiLevelType w:val="multilevel"/>
    <w:tmpl w:val="B1302448"/>
    <w:styleLink w:val="NumbLstAppendix"/>
    <w:lvl w:ilvl="0">
      <w:start w:val="1"/>
      <w:numFmt w:val="upperLetter"/>
      <w:pStyle w:val="AppendixTitle"/>
      <w:lvlText w:val="Appendix %1 - "/>
      <w:lvlJc w:val="left"/>
      <w:pPr>
        <w:tabs>
          <w:tab w:val="num" w:pos="2835"/>
        </w:tabs>
        <w:ind w:left="2835" w:hanging="2835"/>
      </w:pPr>
      <w:rPr>
        <w:rFonts w:hint="default"/>
      </w:rPr>
    </w:lvl>
    <w:lvl w:ilvl="1">
      <w:start w:val="1"/>
      <w:numFmt w:val="decimal"/>
      <w:pStyle w:val="AppendixHeading5"/>
      <w:lvlText w:val="%1.%2"/>
      <w:lvlJc w:val="left"/>
      <w:pPr>
        <w:tabs>
          <w:tab w:val="num" w:pos="680"/>
        </w:tabs>
        <w:ind w:left="680" w:hanging="680"/>
      </w:pPr>
      <w:rPr>
        <w:rFonts w:hint="default"/>
      </w:rPr>
    </w:lvl>
    <w:lvl w:ilvl="2">
      <w:start w:val="1"/>
      <w:numFmt w:val="decimal"/>
      <w:lvlRestart w:val="1"/>
      <w:pStyle w:val="AppendixTableTitle"/>
      <w:suff w:val="space"/>
      <w:lvlText w:val="Table %1.%3"/>
      <w:lvlJc w:val="left"/>
      <w:pPr>
        <w:ind w:left="680" w:firstLine="0"/>
      </w:pPr>
      <w:rPr>
        <w:rFonts w:hint="default"/>
      </w:rPr>
    </w:lvl>
    <w:lvl w:ilvl="3">
      <w:start w:val="1"/>
      <w:numFmt w:val="decimal"/>
      <w:lvlRestart w:val="1"/>
      <w:pStyle w:val="AppendixFigureTitle"/>
      <w:suff w:val="space"/>
      <w:lvlText w:val="Figure %1.%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F63B45"/>
    <w:multiLevelType w:val="multilevel"/>
    <w:tmpl w:val="7D44FC14"/>
    <w:numStyleLink w:val="NumbLstTable"/>
  </w:abstractNum>
  <w:abstractNum w:abstractNumId="14" w15:restartNumberingAfterBreak="0">
    <w:nsid w:val="1B1B10B2"/>
    <w:multiLevelType w:val="multilevel"/>
    <w:tmpl w:val="A7E2F7E2"/>
    <w:numStyleLink w:val="NumbLstKeyMess"/>
  </w:abstractNum>
  <w:abstractNum w:abstractNumId="15" w15:restartNumberingAfterBreak="0">
    <w:nsid w:val="1E8E661D"/>
    <w:multiLevelType w:val="multilevel"/>
    <w:tmpl w:val="7D44FC14"/>
    <w:styleLink w:val="NumbLstTable"/>
    <w:lvl w:ilvl="0">
      <w:start w:val="1"/>
      <w:numFmt w:val="bullet"/>
      <w:pStyle w:val="TableBullet"/>
      <w:lvlText w:val=""/>
      <w:lvlJc w:val="left"/>
      <w:pPr>
        <w:tabs>
          <w:tab w:val="num" w:pos="425"/>
        </w:tabs>
        <w:ind w:left="425" w:hanging="340"/>
      </w:pPr>
      <w:rPr>
        <w:rFonts w:ascii="Symbol" w:hAnsi="Symbol" w:hint="default"/>
        <w:color w:val="FF5000"/>
      </w:rPr>
    </w:lvl>
    <w:lvl w:ilvl="1">
      <w:start w:val="1"/>
      <w:numFmt w:val="none"/>
      <w:suff w:val="nothing"/>
      <w:lvlText w:val=""/>
      <w:lvlJc w:val="left"/>
      <w:pPr>
        <w:ind w:left="340" w:firstLine="0"/>
      </w:pPr>
      <w:rPr>
        <w:rFonts w:hint="default"/>
      </w:rPr>
    </w:lvl>
    <w:lvl w:ilvl="2">
      <w:start w:val="1"/>
      <w:numFmt w:val="none"/>
      <w:suff w:val="nothing"/>
      <w:lvlText w:val=""/>
      <w:lvlJc w:val="left"/>
      <w:pPr>
        <w:ind w:left="340" w:firstLine="0"/>
      </w:pPr>
      <w:rPr>
        <w:rFonts w:hint="default"/>
      </w:rPr>
    </w:lvl>
    <w:lvl w:ilvl="3">
      <w:start w:val="1"/>
      <w:numFmt w:val="none"/>
      <w:suff w:val="nothing"/>
      <w:lvlText w:val=""/>
      <w:lvlJc w:val="left"/>
      <w:pPr>
        <w:ind w:left="340" w:firstLine="0"/>
      </w:pPr>
      <w:rPr>
        <w:rFonts w:hint="default"/>
      </w:rPr>
    </w:lvl>
    <w:lvl w:ilvl="4">
      <w:start w:val="1"/>
      <w:numFmt w:val="none"/>
      <w:suff w:val="nothing"/>
      <w:lvlText w:val=""/>
      <w:lvlJc w:val="left"/>
      <w:pPr>
        <w:ind w:left="340" w:firstLine="0"/>
      </w:pPr>
      <w:rPr>
        <w:rFonts w:hint="default"/>
      </w:rPr>
    </w:lvl>
    <w:lvl w:ilvl="5">
      <w:start w:val="1"/>
      <w:numFmt w:val="none"/>
      <w:suff w:val="nothing"/>
      <w:lvlText w:val=""/>
      <w:lvlJc w:val="left"/>
      <w:pPr>
        <w:ind w:left="340" w:firstLine="0"/>
      </w:pPr>
      <w:rPr>
        <w:rFonts w:hint="default"/>
      </w:rPr>
    </w:lvl>
    <w:lvl w:ilvl="6">
      <w:start w:val="1"/>
      <w:numFmt w:val="none"/>
      <w:suff w:val="nothing"/>
      <w:lvlText w:val=""/>
      <w:lvlJc w:val="left"/>
      <w:pPr>
        <w:ind w:left="340" w:firstLine="0"/>
      </w:pPr>
      <w:rPr>
        <w:rFonts w:hint="default"/>
      </w:rPr>
    </w:lvl>
    <w:lvl w:ilvl="7">
      <w:start w:val="1"/>
      <w:numFmt w:val="none"/>
      <w:suff w:val="nothing"/>
      <w:lvlText w:val=""/>
      <w:lvlJc w:val="left"/>
      <w:pPr>
        <w:ind w:left="340" w:firstLine="0"/>
      </w:pPr>
      <w:rPr>
        <w:rFonts w:hint="default"/>
      </w:rPr>
    </w:lvl>
    <w:lvl w:ilvl="8">
      <w:start w:val="1"/>
      <w:numFmt w:val="none"/>
      <w:suff w:val="nothing"/>
      <w:lvlText w:val=""/>
      <w:lvlJc w:val="left"/>
      <w:pPr>
        <w:ind w:left="340" w:firstLine="0"/>
      </w:pPr>
      <w:rPr>
        <w:rFonts w:hint="default"/>
      </w:rPr>
    </w:lvl>
  </w:abstractNum>
  <w:abstractNum w:abstractNumId="16" w15:restartNumberingAfterBreak="0">
    <w:nsid w:val="22817937"/>
    <w:multiLevelType w:val="multilevel"/>
    <w:tmpl w:val="3CD087C2"/>
    <w:styleLink w:val="NumbLstNumb"/>
    <w:lvl w:ilvl="0">
      <w:start w:val="1"/>
      <w:numFmt w:val="lowerRoman"/>
      <w:pStyle w:val="ExecSummPara"/>
      <w:lvlText w:val="%1."/>
      <w:lvlJc w:val="left"/>
      <w:pPr>
        <w:tabs>
          <w:tab w:val="num" w:pos="680"/>
        </w:tabs>
        <w:ind w:left="680" w:hanging="680"/>
      </w:pPr>
      <w:rPr>
        <w:rFonts w:hint="default"/>
      </w:rPr>
    </w:lvl>
    <w:lvl w:ilvl="1">
      <w:start w:val="1"/>
      <w:numFmt w:val="bullet"/>
      <w:pStyle w:val="Execsummbullet"/>
      <w:lvlText w:val=""/>
      <w:lvlJc w:val="left"/>
      <w:pPr>
        <w:tabs>
          <w:tab w:val="num" w:pos="1361"/>
        </w:tabs>
        <w:ind w:left="1361" w:hanging="681"/>
      </w:pPr>
      <w:rPr>
        <w:rFonts w:ascii="Symbol" w:hAnsi="Symbol" w:hint="default"/>
        <w:color w:val="FF5000"/>
        <w:sz w:val="18"/>
      </w:rPr>
    </w:lvl>
    <w:lvl w:ilvl="2">
      <w:start w:val="1"/>
      <w:numFmt w:val="decimal"/>
      <w:pStyle w:val="ExecSummTableTitle"/>
      <w:suff w:val="space"/>
      <w:lvlText w:val="Table %3"/>
      <w:lvlJc w:val="left"/>
      <w:pPr>
        <w:ind w:left="703" w:firstLine="0"/>
      </w:pPr>
      <w:rPr>
        <w:rFonts w:hint="default"/>
      </w:rPr>
    </w:lvl>
    <w:lvl w:ilvl="3">
      <w:start w:val="1"/>
      <w:numFmt w:val="none"/>
      <w:suff w:val="nothing"/>
      <w:lvlText w:val=""/>
      <w:lvlJc w:val="left"/>
      <w:pPr>
        <w:ind w:left="1361" w:firstLine="0"/>
      </w:pPr>
      <w:rPr>
        <w:rFonts w:hint="default"/>
      </w:rPr>
    </w:lvl>
    <w:lvl w:ilvl="4">
      <w:start w:val="1"/>
      <w:numFmt w:val="none"/>
      <w:suff w:val="nothing"/>
      <w:lvlText w:val=""/>
      <w:lvlJc w:val="left"/>
      <w:pPr>
        <w:ind w:left="1361" w:firstLine="0"/>
      </w:pPr>
      <w:rPr>
        <w:rFonts w:hint="default"/>
      </w:rPr>
    </w:lvl>
    <w:lvl w:ilvl="5">
      <w:start w:val="1"/>
      <w:numFmt w:val="none"/>
      <w:suff w:val="nothing"/>
      <w:lvlText w:val=""/>
      <w:lvlJc w:val="left"/>
      <w:pPr>
        <w:ind w:left="1361" w:firstLine="0"/>
      </w:pPr>
      <w:rPr>
        <w:rFonts w:hint="default"/>
      </w:rPr>
    </w:lvl>
    <w:lvl w:ilvl="6">
      <w:start w:val="1"/>
      <w:numFmt w:val="none"/>
      <w:suff w:val="nothing"/>
      <w:lvlText w:val=""/>
      <w:lvlJc w:val="left"/>
      <w:pPr>
        <w:ind w:left="1361" w:firstLine="0"/>
      </w:pPr>
      <w:rPr>
        <w:rFonts w:hint="default"/>
      </w:rPr>
    </w:lvl>
    <w:lvl w:ilvl="7">
      <w:start w:val="1"/>
      <w:numFmt w:val="none"/>
      <w:suff w:val="nothing"/>
      <w:lvlText w:val=""/>
      <w:lvlJc w:val="left"/>
      <w:pPr>
        <w:ind w:left="1361" w:firstLine="0"/>
      </w:pPr>
      <w:rPr>
        <w:rFonts w:hint="default"/>
      </w:rPr>
    </w:lvl>
    <w:lvl w:ilvl="8">
      <w:start w:val="1"/>
      <w:numFmt w:val="none"/>
      <w:suff w:val="nothing"/>
      <w:lvlText w:val=""/>
      <w:lvlJc w:val="left"/>
      <w:pPr>
        <w:ind w:left="1361" w:firstLine="0"/>
      </w:pPr>
      <w:rPr>
        <w:rFonts w:hint="default"/>
      </w:rPr>
    </w:lvl>
  </w:abstractNum>
  <w:abstractNum w:abstractNumId="17" w15:restartNumberingAfterBreak="0">
    <w:nsid w:val="2ABC2F30"/>
    <w:multiLevelType w:val="hybridMultilevel"/>
    <w:tmpl w:val="F42001D4"/>
    <w:lvl w:ilvl="0" w:tplc="95289E32">
      <w:start w:val="3"/>
      <w:numFmt w:val="lowerLetter"/>
      <w:lvlText w:val="%1."/>
      <w:lvlJc w:val="left"/>
      <w:pPr>
        <w:ind w:left="1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D91E13"/>
    <w:multiLevelType w:val="hybridMultilevel"/>
    <w:tmpl w:val="7A7A1286"/>
    <w:lvl w:ilvl="0" w:tplc="E88E48DA">
      <w:start w:val="1"/>
      <w:numFmt w:val="bullet"/>
      <w:pStyle w:val="RDBullet"/>
      <w:lvlText w:val=""/>
      <w:lvlJc w:val="left"/>
      <w:pPr>
        <w:ind w:left="1040" w:hanging="360"/>
      </w:pPr>
      <w:rPr>
        <w:rFonts w:ascii="Symbol" w:hAnsi="Symbol" w:hint="default"/>
        <w:color w:val="E84B37"/>
        <w:u w:color="E84B37"/>
      </w:rPr>
    </w:lvl>
    <w:lvl w:ilvl="1" w:tplc="E2DA79DE">
      <w:start w:val="1"/>
      <w:numFmt w:val="bullet"/>
      <w:pStyle w:val="RDbullettier2"/>
      <w:lvlText w:val="o"/>
      <w:lvlJc w:val="left"/>
      <w:pPr>
        <w:ind w:left="1760" w:hanging="360"/>
      </w:pPr>
      <w:rPr>
        <w:rFonts w:ascii="Courier New" w:hAnsi="Courier New" w:cs="Courier New" w:hint="default"/>
      </w:rPr>
    </w:lvl>
    <w:lvl w:ilvl="2" w:tplc="04090005">
      <w:start w:val="1"/>
      <w:numFmt w:val="bullet"/>
      <w:lvlText w:val=""/>
      <w:lvlJc w:val="left"/>
      <w:pPr>
        <w:ind w:left="2480" w:hanging="360"/>
      </w:pPr>
      <w:rPr>
        <w:rFonts w:ascii="Wingdings" w:hAnsi="Wingdings" w:hint="default"/>
      </w:rPr>
    </w:lvl>
    <w:lvl w:ilvl="3" w:tplc="04090001">
      <w:start w:val="1"/>
      <w:numFmt w:val="bullet"/>
      <w:lvlText w:val=""/>
      <w:lvlJc w:val="left"/>
      <w:pPr>
        <w:ind w:left="3200" w:hanging="360"/>
      </w:pPr>
      <w:rPr>
        <w:rFonts w:ascii="Symbol" w:hAnsi="Symbol" w:hint="default"/>
      </w:rPr>
    </w:lvl>
    <w:lvl w:ilvl="4" w:tplc="04090003">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9" w15:restartNumberingAfterBreak="0">
    <w:nsid w:val="30697196"/>
    <w:multiLevelType w:val="multilevel"/>
    <w:tmpl w:val="2A2660FC"/>
    <w:styleLink w:val="NumbLstBullet"/>
    <w:lvl w:ilvl="0">
      <w:start w:val="1"/>
      <w:numFmt w:val="bullet"/>
      <w:lvlText w:val=""/>
      <w:lvlJc w:val="left"/>
      <w:pPr>
        <w:ind w:left="340" w:hanging="340"/>
      </w:pPr>
      <w:rPr>
        <w:rFonts w:ascii="Symbol" w:hAnsi="Symbol" w:hint="default"/>
        <w:color w:val="273641" w:themeColor="text2"/>
      </w:rPr>
    </w:lvl>
    <w:lvl w:ilvl="1">
      <w:start w:val="1"/>
      <w:numFmt w:val="bullet"/>
      <w:lvlText w:val="–"/>
      <w:lvlJc w:val="left"/>
      <w:pPr>
        <w:ind w:left="680" w:hanging="340"/>
      </w:pPr>
      <w:rPr>
        <w:rFonts w:ascii="Arial" w:hAnsi="Arial" w:hint="default"/>
        <w:color w:val="auto"/>
      </w:rPr>
    </w:lvl>
    <w:lvl w:ilvl="2">
      <w:start w:val="1"/>
      <w:numFmt w:val="bullet"/>
      <w:lvlText w:val=""/>
      <w:lvlJc w:val="left"/>
      <w:pPr>
        <w:ind w:left="1021" w:hanging="341"/>
      </w:pPr>
      <w:rPr>
        <w:rFonts w:ascii="Symbol" w:hAnsi="Symbol" w:hint="default"/>
        <w:color w:val="auto"/>
      </w:rPr>
    </w:lvl>
    <w:lvl w:ilvl="3">
      <w:start w:val="1"/>
      <w:numFmt w:val="none"/>
      <w:lvlText w:val=""/>
      <w:lvlJc w:val="left"/>
      <w:pPr>
        <w:ind w:left="1021" w:firstLine="0"/>
      </w:pPr>
      <w:rPr>
        <w:rFonts w:hint="default"/>
      </w:rPr>
    </w:lvl>
    <w:lvl w:ilvl="4">
      <w:start w:val="1"/>
      <w:numFmt w:val="none"/>
      <w:lvlText w:val=""/>
      <w:lvlJc w:val="left"/>
      <w:pPr>
        <w:ind w:left="1021" w:firstLine="0"/>
      </w:pPr>
      <w:rPr>
        <w:rFonts w:hint="default"/>
      </w:rPr>
    </w:lvl>
    <w:lvl w:ilvl="5">
      <w:start w:val="1"/>
      <w:numFmt w:val="none"/>
      <w:lvlText w:val=""/>
      <w:lvlJc w:val="left"/>
      <w:pPr>
        <w:ind w:left="1021" w:firstLine="0"/>
      </w:pPr>
      <w:rPr>
        <w:rFonts w:hint="default"/>
      </w:rPr>
    </w:lvl>
    <w:lvl w:ilvl="6">
      <w:start w:val="1"/>
      <w:numFmt w:val="none"/>
      <w:lvlText w:val=""/>
      <w:lvlJc w:val="left"/>
      <w:pPr>
        <w:ind w:left="1021" w:firstLine="0"/>
      </w:pPr>
      <w:rPr>
        <w:rFonts w:hint="default"/>
      </w:rPr>
    </w:lvl>
    <w:lvl w:ilvl="7">
      <w:start w:val="1"/>
      <w:numFmt w:val="none"/>
      <w:lvlText w:val=""/>
      <w:lvlJc w:val="left"/>
      <w:pPr>
        <w:ind w:left="1021" w:firstLine="0"/>
      </w:pPr>
      <w:rPr>
        <w:rFonts w:hint="default"/>
      </w:rPr>
    </w:lvl>
    <w:lvl w:ilvl="8">
      <w:start w:val="1"/>
      <w:numFmt w:val="none"/>
      <w:lvlText w:val=""/>
      <w:lvlJc w:val="left"/>
      <w:pPr>
        <w:ind w:left="1021" w:firstLine="0"/>
      </w:pPr>
      <w:rPr>
        <w:rFonts w:hint="default"/>
      </w:rPr>
    </w:lvl>
  </w:abstractNum>
  <w:abstractNum w:abstractNumId="20" w15:restartNumberingAfterBreak="0">
    <w:nsid w:val="395F4250"/>
    <w:multiLevelType w:val="hybridMultilevel"/>
    <w:tmpl w:val="4DF8744C"/>
    <w:lvl w:ilvl="0" w:tplc="C7580F7C">
      <w:start w:val="1"/>
      <w:numFmt w:val="decimal"/>
      <w:pStyle w:val="Heading1"/>
      <w:lvlText w:val="%1."/>
      <w:lvlJc w:val="left"/>
      <w:pPr>
        <w:ind w:left="1400" w:hanging="360"/>
      </w:pPr>
      <w:rPr>
        <w:rFonts w:hint="default"/>
        <w:color w:val="BF3B00" w:themeColor="accent6" w:themeShade="BF"/>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1" w15:restartNumberingAfterBreak="0">
    <w:nsid w:val="3DEB18C2"/>
    <w:multiLevelType w:val="hybridMultilevel"/>
    <w:tmpl w:val="84D2FAE6"/>
    <w:lvl w:ilvl="0" w:tplc="0A3E464E">
      <w:start w:val="1"/>
      <w:numFmt w:val="decimal"/>
      <w:pStyle w:val="RDnumber"/>
      <w:lvlText w:val="%1."/>
      <w:lvlJc w:val="left"/>
      <w:pPr>
        <w:ind w:left="1400" w:hanging="360"/>
      </w:pPr>
      <w:rPr>
        <w:rFonts w:hint="default"/>
        <w:color w:val="BF3B00" w:themeColor="accent6" w:themeShade="BF"/>
      </w:r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2" w15:restartNumberingAfterBreak="0">
    <w:nsid w:val="3F502C7D"/>
    <w:multiLevelType w:val="multilevel"/>
    <w:tmpl w:val="569407F0"/>
    <w:styleLink w:val="NumbLstBullets"/>
    <w:lvl w:ilvl="0">
      <w:start w:val="1"/>
      <w:numFmt w:val="bullet"/>
      <w:lvlText w:val=""/>
      <w:lvlJc w:val="left"/>
      <w:pPr>
        <w:tabs>
          <w:tab w:val="num" w:pos="1361"/>
        </w:tabs>
        <w:ind w:left="1361" w:hanging="681"/>
      </w:pPr>
      <w:rPr>
        <w:rFonts w:ascii="Symbol" w:hAnsi="Symbol" w:hint="default"/>
        <w:color w:val="E84B37"/>
        <w:sz w:val="22"/>
        <w:u w:color="E84B37"/>
      </w:rPr>
    </w:lvl>
    <w:lvl w:ilvl="1">
      <w:start w:val="1"/>
      <w:numFmt w:val="bullet"/>
      <w:lvlText w:val=""/>
      <w:lvlJc w:val="left"/>
      <w:pPr>
        <w:tabs>
          <w:tab w:val="num" w:pos="2041"/>
        </w:tabs>
        <w:ind w:left="2041" w:hanging="680"/>
      </w:pPr>
      <w:rPr>
        <w:rFonts w:ascii="Wingdings" w:hAnsi="Wingdings" w:hint="default"/>
        <w:color w:val="FF5000"/>
        <w:sz w:val="14"/>
      </w:rPr>
    </w:lvl>
    <w:lvl w:ilvl="2">
      <w:start w:val="1"/>
      <w:numFmt w:val="none"/>
      <w:suff w:val="nothing"/>
      <w:lvlText w:val=""/>
      <w:lvlJc w:val="left"/>
      <w:pPr>
        <w:ind w:left="1361" w:firstLine="0"/>
      </w:pPr>
      <w:rPr>
        <w:rFonts w:hint="default"/>
      </w:rPr>
    </w:lvl>
    <w:lvl w:ilvl="3">
      <w:start w:val="1"/>
      <w:numFmt w:val="none"/>
      <w:suff w:val="nothing"/>
      <w:lvlText w:val=""/>
      <w:lvlJc w:val="left"/>
      <w:pPr>
        <w:ind w:left="2041" w:firstLine="0"/>
      </w:pPr>
      <w:rPr>
        <w:rFonts w:hint="default"/>
      </w:rPr>
    </w:lvl>
    <w:lvl w:ilvl="4">
      <w:start w:val="1"/>
      <w:numFmt w:val="none"/>
      <w:suff w:val="nothing"/>
      <w:lvlText w:val=""/>
      <w:lvlJc w:val="left"/>
      <w:pPr>
        <w:ind w:left="2041" w:firstLine="0"/>
      </w:pPr>
      <w:rPr>
        <w:rFonts w:hint="default"/>
      </w:rPr>
    </w:lvl>
    <w:lvl w:ilvl="5">
      <w:start w:val="1"/>
      <w:numFmt w:val="none"/>
      <w:suff w:val="nothing"/>
      <w:lvlText w:val=""/>
      <w:lvlJc w:val="left"/>
      <w:pPr>
        <w:ind w:left="2041" w:firstLine="0"/>
      </w:pPr>
      <w:rPr>
        <w:rFonts w:hint="default"/>
      </w:rPr>
    </w:lvl>
    <w:lvl w:ilvl="6">
      <w:start w:val="1"/>
      <w:numFmt w:val="none"/>
      <w:suff w:val="nothing"/>
      <w:lvlText w:val=""/>
      <w:lvlJc w:val="left"/>
      <w:pPr>
        <w:ind w:left="2041" w:firstLine="0"/>
      </w:pPr>
      <w:rPr>
        <w:rFonts w:hint="default"/>
      </w:rPr>
    </w:lvl>
    <w:lvl w:ilvl="7">
      <w:start w:val="1"/>
      <w:numFmt w:val="none"/>
      <w:suff w:val="nothing"/>
      <w:lvlText w:val=""/>
      <w:lvlJc w:val="left"/>
      <w:pPr>
        <w:ind w:left="2041" w:firstLine="0"/>
      </w:pPr>
      <w:rPr>
        <w:rFonts w:hint="default"/>
      </w:rPr>
    </w:lvl>
    <w:lvl w:ilvl="8">
      <w:start w:val="1"/>
      <w:numFmt w:val="none"/>
      <w:suff w:val="nothing"/>
      <w:lvlText w:val=""/>
      <w:lvlJc w:val="left"/>
      <w:pPr>
        <w:ind w:left="2041" w:firstLine="0"/>
      </w:pPr>
      <w:rPr>
        <w:rFonts w:hint="default"/>
      </w:rPr>
    </w:lvl>
  </w:abstractNum>
  <w:abstractNum w:abstractNumId="23" w15:restartNumberingAfterBreak="0">
    <w:nsid w:val="46FE45FE"/>
    <w:multiLevelType w:val="hybridMultilevel"/>
    <w:tmpl w:val="DFB0F24A"/>
    <w:lvl w:ilvl="0" w:tplc="FC784252">
      <w:start w:val="1"/>
      <w:numFmt w:val="decimal"/>
      <w:pStyle w:val="Style1"/>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24" w15:restartNumberingAfterBreak="0">
    <w:nsid w:val="47E84292"/>
    <w:multiLevelType w:val="hybridMultilevel"/>
    <w:tmpl w:val="D3C02918"/>
    <w:lvl w:ilvl="0" w:tplc="C5B4419A">
      <w:start w:val="1"/>
      <w:numFmt w:val="bullet"/>
      <w:pStyle w:val="viybullet1"/>
      <w:lvlText w:val=""/>
      <w:lvlJc w:val="left"/>
      <w:pPr>
        <w:tabs>
          <w:tab w:val="num" w:pos="1040"/>
        </w:tabs>
        <w:ind w:left="1040" w:hanging="360"/>
      </w:pPr>
      <w:rPr>
        <w:rFonts w:ascii="Symbol" w:hAnsi="Symbol" w:hint="default"/>
        <w:color w:val="E84B37"/>
        <w:u w:color="E84B37"/>
      </w:rPr>
    </w:lvl>
    <w:lvl w:ilvl="1" w:tplc="11A8A91E" w:tentative="1">
      <w:start w:val="1"/>
      <w:numFmt w:val="bullet"/>
      <w:lvlText w:val="•"/>
      <w:lvlJc w:val="left"/>
      <w:pPr>
        <w:tabs>
          <w:tab w:val="num" w:pos="1760"/>
        </w:tabs>
        <w:ind w:left="1760" w:hanging="360"/>
      </w:pPr>
      <w:rPr>
        <w:rFonts w:ascii="Arial" w:hAnsi="Arial" w:hint="default"/>
      </w:rPr>
    </w:lvl>
    <w:lvl w:ilvl="2" w:tplc="5FACBDEA" w:tentative="1">
      <w:start w:val="1"/>
      <w:numFmt w:val="bullet"/>
      <w:lvlText w:val="•"/>
      <w:lvlJc w:val="left"/>
      <w:pPr>
        <w:tabs>
          <w:tab w:val="num" w:pos="2480"/>
        </w:tabs>
        <w:ind w:left="2480" w:hanging="360"/>
      </w:pPr>
      <w:rPr>
        <w:rFonts w:ascii="Arial" w:hAnsi="Arial" w:hint="default"/>
      </w:rPr>
    </w:lvl>
    <w:lvl w:ilvl="3" w:tplc="35E26C6A" w:tentative="1">
      <w:start w:val="1"/>
      <w:numFmt w:val="bullet"/>
      <w:lvlText w:val="•"/>
      <w:lvlJc w:val="left"/>
      <w:pPr>
        <w:tabs>
          <w:tab w:val="num" w:pos="3200"/>
        </w:tabs>
        <w:ind w:left="3200" w:hanging="360"/>
      </w:pPr>
      <w:rPr>
        <w:rFonts w:ascii="Arial" w:hAnsi="Arial" w:hint="default"/>
      </w:rPr>
    </w:lvl>
    <w:lvl w:ilvl="4" w:tplc="A91C091A" w:tentative="1">
      <w:start w:val="1"/>
      <w:numFmt w:val="bullet"/>
      <w:lvlText w:val="•"/>
      <w:lvlJc w:val="left"/>
      <w:pPr>
        <w:tabs>
          <w:tab w:val="num" w:pos="3920"/>
        </w:tabs>
        <w:ind w:left="3920" w:hanging="360"/>
      </w:pPr>
      <w:rPr>
        <w:rFonts w:ascii="Arial" w:hAnsi="Arial" w:hint="default"/>
      </w:rPr>
    </w:lvl>
    <w:lvl w:ilvl="5" w:tplc="88F21E00" w:tentative="1">
      <w:start w:val="1"/>
      <w:numFmt w:val="bullet"/>
      <w:lvlText w:val="•"/>
      <w:lvlJc w:val="left"/>
      <w:pPr>
        <w:tabs>
          <w:tab w:val="num" w:pos="4640"/>
        </w:tabs>
        <w:ind w:left="4640" w:hanging="360"/>
      </w:pPr>
      <w:rPr>
        <w:rFonts w:ascii="Arial" w:hAnsi="Arial" w:hint="default"/>
      </w:rPr>
    </w:lvl>
    <w:lvl w:ilvl="6" w:tplc="43BC085A" w:tentative="1">
      <w:start w:val="1"/>
      <w:numFmt w:val="bullet"/>
      <w:lvlText w:val="•"/>
      <w:lvlJc w:val="left"/>
      <w:pPr>
        <w:tabs>
          <w:tab w:val="num" w:pos="5360"/>
        </w:tabs>
        <w:ind w:left="5360" w:hanging="360"/>
      </w:pPr>
      <w:rPr>
        <w:rFonts w:ascii="Arial" w:hAnsi="Arial" w:hint="default"/>
      </w:rPr>
    </w:lvl>
    <w:lvl w:ilvl="7" w:tplc="E68C1EDC" w:tentative="1">
      <w:start w:val="1"/>
      <w:numFmt w:val="bullet"/>
      <w:lvlText w:val="•"/>
      <w:lvlJc w:val="left"/>
      <w:pPr>
        <w:tabs>
          <w:tab w:val="num" w:pos="6080"/>
        </w:tabs>
        <w:ind w:left="6080" w:hanging="360"/>
      </w:pPr>
      <w:rPr>
        <w:rFonts w:ascii="Arial" w:hAnsi="Arial" w:hint="default"/>
      </w:rPr>
    </w:lvl>
    <w:lvl w:ilvl="8" w:tplc="66DEE180" w:tentative="1">
      <w:start w:val="1"/>
      <w:numFmt w:val="bullet"/>
      <w:lvlText w:val="•"/>
      <w:lvlJc w:val="left"/>
      <w:pPr>
        <w:tabs>
          <w:tab w:val="num" w:pos="6800"/>
        </w:tabs>
        <w:ind w:left="6800" w:hanging="360"/>
      </w:pPr>
      <w:rPr>
        <w:rFonts w:ascii="Arial" w:hAnsi="Arial" w:hint="default"/>
      </w:rPr>
    </w:lvl>
  </w:abstractNum>
  <w:abstractNum w:abstractNumId="25" w15:restartNumberingAfterBreak="0">
    <w:nsid w:val="4C6B7825"/>
    <w:multiLevelType w:val="multilevel"/>
    <w:tmpl w:val="865853C6"/>
    <w:styleLink w:val="NumbLstExecSumm"/>
    <w:lvl w:ilvl="0">
      <w:start w:val="1"/>
      <w:numFmt w:val="decimal"/>
      <w:lvlText w:val="%1."/>
      <w:lvlJc w:val="left"/>
      <w:pPr>
        <w:tabs>
          <w:tab w:val="num" w:pos="680"/>
        </w:tabs>
        <w:ind w:left="680" w:hanging="680"/>
      </w:pPr>
      <w:rPr>
        <w:rFonts w:hint="default"/>
      </w:rPr>
    </w:lvl>
    <w:lvl w:ilvl="1">
      <w:start w:val="1"/>
      <w:numFmt w:val="lowerRoman"/>
      <w:lvlText w:val="%2."/>
      <w:lvlJc w:val="left"/>
      <w:pPr>
        <w:tabs>
          <w:tab w:val="num" w:pos="1021"/>
        </w:tabs>
        <w:ind w:left="1021" w:hanging="341"/>
      </w:pPr>
      <w:rPr>
        <w:rFonts w:hint="default"/>
      </w:rPr>
    </w:lvl>
    <w:lvl w:ilvl="2">
      <w:start w:val="1"/>
      <w:numFmt w:val="bullet"/>
      <w:lvlText w:val=""/>
      <w:lvlJc w:val="left"/>
      <w:pPr>
        <w:tabs>
          <w:tab w:val="num" w:pos="680"/>
        </w:tabs>
        <w:ind w:left="1134" w:hanging="45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04C3838"/>
    <w:multiLevelType w:val="multilevel"/>
    <w:tmpl w:val="A7E2F7E2"/>
    <w:styleLink w:val="NumbLstKeyMess"/>
    <w:lvl w:ilvl="0">
      <w:start w:val="1"/>
      <w:numFmt w:val="bullet"/>
      <w:pStyle w:val="KeyMessBullet1"/>
      <w:lvlText w:val=""/>
      <w:lvlJc w:val="left"/>
      <w:pPr>
        <w:tabs>
          <w:tab w:val="num" w:pos="567"/>
        </w:tabs>
        <w:ind w:left="567" w:hanging="340"/>
      </w:pPr>
      <w:rPr>
        <w:rFonts w:ascii="Symbol" w:hAnsi="Symbol" w:hint="default"/>
        <w:color w:val="052D3F"/>
      </w:rPr>
    </w:lvl>
    <w:lvl w:ilvl="1">
      <w:start w:val="1"/>
      <w:numFmt w:val="bullet"/>
      <w:pStyle w:val="SummaryBullet1"/>
      <w:lvlText w:val=""/>
      <w:lvlJc w:val="left"/>
      <w:pPr>
        <w:tabs>
          <w:tab w:val="num" w:pos="1077"/>
        </w:tabs>
        <w:ind w:left="1077" w:hanging="340"/>
      </w:pPr>
      <w:rPr>
        <w:rFonts w:ascii="Symbol" w:hAnsi="Symbol" w:hint="default"/>
        <w:color w:val="FF5000"/>
      </w:rPr>
    </w:lvl>
    <w:lvl w:ilvl="2">
      <w:start w:val="1"/>
      <w:numFmt w:val="bullet"/>
      <w:pStyle w:val="KeyMessBullet1Land"/>
      <w:lvlText w:val=""/>
      <w:lvlJc w:val="left"/>
      <w:pPr>
        <w:ind w:left="567" w:hanging="340"/>
      </w:pPr>
      <w:rPr>
        <w:rFonts w:ascii="Symbol" w:hAnsi="Symbol" w:hint="default"/>
        <w:color w:val="052D3F"/>
      </w:rPr>
    </w:lvl>
    <w:lvl w:ilvl="3">
      <w:start w:val="1"/>
      <w:numFmt w:val="none"/>
      <w:suff w:val="nothing"/>
      <w:lvlText w:val=""/>
      <w:lvlJc w:val="left"/>
      <w:pPr>
        <w:ind w:left="1077" w:firstLine="0"/>
      </w:pPr>
      <w:rPr>
        <w:rFonts w:hint="default"/>
      </w:rPr>
    </w:lvl>
    <w:lvl w:ilvl="4">
      <w:start w:val="1"/>
      <w:numFmt w:val="none"/>
      <w:suff w:val="nothing"/>
      <w:lvlText w:val=""/>
      <w:lvlJc w:val="left"/>
      <w:pPr>
        <w:ind w:left="1077" w:firstLine="0"/>
      </w:pPr>
      <w:rPr>
        <w:rFonts w:hint="default"/>
      </w:rPr>
    </w:lvl>
    <w:lvl w:ilvl="5">
      <w:start w:val="1"/>
      <w:numFmt w:val="none"/>
      <w:suff w:val="nothing"/>
      <w:lvlText w:val=""/>
      <w:lvlJc w:val="left"/>
      <w:pPr>
        <w:ind w:left="1077" w:firstLine="0"/>
      </w:pPr>
      <w:rPr>
        <w:rFonts w:hint="default"/>
      </w:rPr>
    </w:lvl>
    <w:lvl w:ilvl="6">
      <w:start w:val="1"/>
      <w:numFmt w:val="none"/>
      <w:suff w:val="nothing"/>
      <w:lvlText w:val=""/>
      <w:lvlJc w:val="left"/>
      <w:pPr>
        <w:ind w:left="1077" w:firstLine="0"/>
      </w:pPr>
      <w:rPr>
        <w:rFonts w:hint="default"/>
      </w:rPr>
    </w:lvl>
    <w:lvl w:ilvl="7">
      <w:start w:val="1"/>
      <w:numFmt w:val="none"/>
      <w:suff w:val="nothing"/>
      <w:lvlText w:val=""/>
      <w:lvlJc w:val="left"/>
      <w:pPr>
        <w:ind w:left="1077" w:firstLine="0"/>
      </w:pPr>
      <w:rPr>
        <w:rFonts w:hint="default"/>
      </w:rPr>
    </w:lvl>
    <w:lvl w:ilvl="8">
      <w:start w:val="1"/>
      <w:numFmt w:val="none"/>
      <w:suff w:val="nothing"/>
      <w:lvlText w:val=""/>
      <w:lvlJc w:val="left"/>
      <w:pPr>
        <w:ind w:left="1077" w:firstLine="0"/>
      </w:pPr>
      <w:rPr>
        <w:rFonts w:hint="default"/>
      </w:rPr>
    </w:lvl>
  </w:abstractNum>
  <w:abstractNum w:abstractNumId="27" w15:restartNumberingAfterBreak="0">
    <w:nsid w:val="53595315"/>
    <w:multiLevelType w:val="hybridMultilevel"/>
    <w:tmpl w:val="16089FE2"/>
    <w:lvl w:ilvl="0" w:tplc="51162FFE">
      <w:start w:val="1"/>
      <w:numFmt w:val="decimal"/>
      <w:pStyle w:val="RDNumbers"/>
      <w:lvlText w:val="%1."/>
      <w:lvlJc w:val="left"/>
      <w:pPr>
        <w:ind w:left="1400" w:hanging="360"/>
      </w:pPr>
      <w:rPr>
        <w:rFonts w:hint="default"/>
        <w:color w:val="BF3B00" w:themeColor="accent6" w:themeShade="BF"/>
      </w:rPr>
    </w:lvl>
    <w:lvl w:ilvl="1" w:tplc="04090019">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8" w15:restartNumberingAfterBreak="0">
    <w:nsid w:val="590E2BA3"/>
    <w:multiLevelType w:val="hybridMultilevel"/>
    <w:tmpl w:val="ADCE27D2"/>
    <w:lvl w:ilvl="0" w:tplc="3DC40A68">
      <w:start w:val="1"/>
      <w:numFmt w:val="lowerLetter"/>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9" w15:restartNumberingAfterBreak="0">
    <w:nsid w:val="5F1151A9"/>
    <w:multiLevelType w:val="multilevel"/>
    <w:tmpl w:val="98E03A1C"/>
    <w:styleLink w:val="NumbLstMain"/>
    <w:lvl w:ilvl="0">
      <w:start w:val="1"/>
      <w:numFmt w:val="decimal"/>
      <w:lvlText w:val="%1."/>
      <w:lvlJc w:val="left"/>
      <w:pPr>
        <w:tabs>
          <w:tab w:val="num" w:pos="680"/>
        </w:tabs>
        <w:ind w:left="680" w:hanging="680"/>
      </w:pPr>
      <w:rPr>
        <w:rFonts w:ascii="Arial" w:hAnsi="Arial" w:hint="default"/>
        <w:b/>
        <w:i w:val="0"/>
        <w:color w:val="394A58"/>
        <w:sz w:val="44"/>
        <w:szCs w:val="44"/>
      </w:rPr>
    </w:lvl>
    <w:lvl w:ilvl="1">
      <w:start w:val="1"/>
      <w:numFmt w:val="none"/>
      <w:suff w:val="nothing"/>
      <w:lvlText w:val=""/>
      <w:lvlJc w:val="left"/>
      <w:pPr>
        <w:ind w:left="680" w:firstLine="0"/>
      </w:pPr>
      <w:rPr>
        <w:rFonts w:hint="default"/>
      </w:rPr>
    </w:lvl>
    <w:lvl w:ilvl="2">
      <w:start w:val="1"/>
      <w:numFmt w:val="none"/>
      <w:suff w:val="nothing"/>
      <w:lvlText w:val=""/>
      <w:lvlJc w:val="left"/>
      <w:pPr>
        <w:ind w:left="680" w:firstLine="0"/>
      </w:pPr>
      <w:rPr>
        <w:rFonts w:hint="default"/>
      </w:rPr>
    </w:lvl>
    <w:lvl w:ilvl="3">
      <w:start w:val="1"/>
      <w:numFmt w:val="none"/>
      <w:lvlRestart w:val="0"/>
      <w:suff w:val="nothing"/>
      <w:lvlText w:val=""/>
      <w:lvlJc w:val="left"/>
      <w:pPr>
        <w:ind w:left="680" w:firstLine="0"/>
      </w:pPr>
      <w:rPr>
        <w:rFonts w:hint="default"/>
      </w:rPr>
    </w:lvl>
    <w:lvl w:ilvl="4">
      <w:start w:val="1"/>
      <w:numFmt w:val="decimal"/>
      <w:lvlRestart w:val="1"/>
      <w:lvlText w:val="%1.%5"/>
      <w:lvlJc w:val="left"/>
      <w:pPr>
        <w:tabs>
          <w:tab w:val="num" w:pos="680"/>
        </w:tabs>
        <w:ind w:left="680" w:hanging="680"/>
      </w:pPr>
      <w:rPr>
        <w:rFonts w:hint="default"/>
      </w:rPr>
    </w:lvl>
    <w:lvl w:ilvl="5">
      <w:start w:val="1"/>
      <w:numFmt w:val="decimal"/>
      <w:lvlRestart w:val="1"/>
      <w:suff w:val="space"/>
      <w:lvlText w:val="Table %1.%6"/>
      <w:lvlJc w:val="left"/>
      <w:pPr>
        <w:ind w:left="703" w:firstLine="0"/>
      </w:pPr>
      <w:rPr>
        <w:rFonts w:hint="default"/>
        <w:color w:val="auto"/>
      </w:rPr>
    </w:lvl>
    <w:lvl w:ilvl="6">
      <w:start w:val="1"/>
      <w:numFmt w:val="decimal"/>
      <w:lvlRestart w:val="1"/>
      <w:suff w:val="space"/>
      <w:lvlText w:val="Figure %1.%7"/>
      <w:lvlJc w:val="left"/>
      <w:pPr>
        <w:ind w:left="57" w:firstLine="0"/>
      </w:pPr>
      <w:rPr>
        <w:rFonts w:hint="default"/>
        <w:color w:val="auto"/>
      </w:rPr>
    </w:lvl>
    <w:lvl w:ilvl="7">
      <w:start w:val="1"/>
      <w:numFmt w:val="decimal"/>
      <w:lvlText w:val="%8)"/>
      <w:lvlJc w:val="left"/>
      <w:pPr>
        <w:tabs>
          <w:tab w:val="num" w:pos="1361"/>
        </w:tabs>
        <w:ind w:left="1361" w:hanging="681"/>
      </w:pPr>
      <w:rPr>
        <w:rFonts w:hint="default"/>
      </w:rPr>
    </w:lvl>
    <w:lvl w:ilvl="8">
      <w:start w:val="1"/>
      <w:numFmt w:val="none"/>
      <w:suff w:val="nothing"/>
      <w:lvlText w:val=""/>
      <w:lvlJc w:val="left"/>
      <w:pPr>
        <w:ind w:left="680" w:firstLine="0"/>
      </w:pPr>
      <w:rPr>
        <w:rFonts w:hint="default"/>
      </w:rPr>
    </w:lvl>
  </w:abstractNum>
  <w:abstractNum w:abstractNumId="30" w15:restartNumberingAfterBreak="0">
    <w:nsid w:val="62331045"/>
    <w:multiLevelType w:val="hybridMultilevel"/>
    <w:tmpl w:val="D3CA7AEE"/>
    <w:lvl w:ilvl="0" w:tplc="603EC130">
      <w:start w:val="1"/>
      <w:numFmt w:val="decimal"/>
      <w:pStyle w:val="RDBoxnumber"/>
      <w:lvlText w:val="%1."/>
      <w:lvlJc w:val="left"/>
      <w:pPr>
        <w:ind w:left="587" w:hanging="360"/>
      </w:pPr>
      <w:rPr>
        <w:rFonts w:hint="default"/>
        <w:b/>
        <w:i w:val="0"/>
        <w:color w:val="052D3F" w:themeColor="accent1"/>
      </w:rPr>
    </w:lvl>
    <w:lvl w:ilvl="1" w:tplc="04090019">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9"/>
  </w:num>
  <w:num w:numId="14">
    <w:abstractNumId w:val="22"/>
  </w:num>
  <w:num w:numId="15">
    <w:abstractNumId w:val="25"/>
  </w:num>
  <w:num w:numId="16">
    <w:abstractNumId w:val="26"/>
  </w:num>
  <w:num w:numId="17">
    <w:abstractNumId w:val="29"/>
  </w:num>
  <w:num w:numId="18">
    <w:abstractNumId w:val="16"/>
  </w:num>
  <w:num w:numId="19">
    <w:abstractNumId w:val="15"/>
  </w:num>
  <w:num w:numId="20">
    <w:abstractNumId w:val="13"/>
  </w:num>
  <w:num w:numId="21">
    <w:abstractNumId w:val="14"/>
  </w:num>
  <w:num w:numId="22">
    <w:abstractNumId w:val="18"/>
  </w:num>
  <w:num w:numId="23">
    <w:abstractNumId w:val="12"/>
  </w:num>
  <w:num w:numId="24">
    <w:abstractNumId w:val="12"/>
    <w:lvlOverride w:ilvl="0">
      <w:lvl w:ilvl="0">
        <w:start w:val="1"/>
        <w:numFmt w:val="upperLetter"/>
        <w:pStyle w:val="AppendixTitle"/>
        <w:lvlText w:val="Appendix %1 - "/>
        <w:lvlJc w:val="left"/>
        <w:pPr>
          <w:tabs>
            <w:tab w:val="num" w:pos="5377"/>
          </w:tabs>
          <w:ind w:left="5377" w:hanging="2835"/>
        </w:pPr>
        <w:rPr>
          <w:rFonts w:hint="default"/>
          <w:color w:val="E84B37"/>
        </w:rPr>
      </w:lvl>
    </w:lvlOverride>
  </w:num>
  <w:num w:numId="25">
    <w:abstractNumId w:val="24"/>
  </w:num>
  <w:num w:numId="26">
    <w:abstractNumId w:val="23"/>
  </w:num>
  <w:num w:numId="27">
    <w:abstractNumId w:val="21"/>
  </w:num>
  <w:num w:numId="28">
    <w:abstractNumId w:val="28"/>
  </w:num>
  <w:num w:numId="29">
    <w:abstractNumId w:val="30"/>
  </w:num>
  <w:num w:numId="30">
    <w:abstractNumId w:val="30"/>
    <w:lvlOverride w:ilvl="0">
      <w:startOverride w:val="1"/>
    </w:lvlOverride>
  </w:num>
  <w:num w:numId="31">
    <w:abstractNumId w:val="30"/>
    <w:lvlOverride w:ilvl="0">
      <w:startOverride w:val="1"/>
    </w:lvlOverride>
  </w:num>
  <w:num w:numId="32">
    <w:abstractNumId w:val="17"/>
  </w:num>
  <w:num w:numId="33">
    <w:abstractNumId w:val="20"/>
  </w:num>
  <w:num w:numId="34">
    <w:abstractNumId w:val="21"/>
    <w:lvlOverride w:ilvl="0">
      <w:startOverride w:val="1"/>
    </w:lvlOverride>
  </w:num>
  <w:num w:numId="35">
    <w:abstractNumId w:val="27"/>
  </w:num>
  <w:num w:numId="36">
    <w:abstractNumId w:val="27"/>
    <w:lvlOverride w:ilvl="0">
      <w:startOverride w:val="1"/>
    </w:lvlOverride>
  </w:num>
  <w:num w:numId="37">
    <w:abstractNumId w:val="27"/>
    <w:lvlOverride w:ilvl="0">
      <w:startOverride w:val="1"/>
    </w:lvlOverride>
  </w:num>
  <w:num w:numId="38">
    <w:abstractNumId w:val="27"/>
    <w:lvlOverride w:ilvl="0">
      <w:startOverride w:val="1"/>
    </w:lvlOverride>
  </w:num>
  <w:num w:numId="39">
    <w:abstractNumId w:val="27"/>
    <w:lvlOverride w:ilvl="0">
      <w:startOverride w:val="1"/>
    </w:lvlOverride>
  </w:num>
  <w:num w:numId="40">
    <w:abstractNumId w:val="27"/>
    <w:lvlOverride w:ilvl="0">
      <w:startOverride w:val="1"/>
    </w:lvlOverride>
  </w:num>
  <w:num w:numId="41">
    <w:abstractNumId w:val="21"/>
    <w:lvlOverride w:ilvl="0">
      <w:startOverride w:val="1"/>
    </w:lvlOverride>
  </w:num>
  <w:num w:numId="42">
    <w:abstractNumId w:val="27"/>
    <w:lvlOverride w:ilvl="0">
      <w:startOverride w:val="1"/>
    </w:lvlOverride>
  </w:num>
  <w:num w:numId="43">
    <w:abstractNumId w:val="21"/>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attachedTemplate r:id="rId1"/>
  <w:defaultTabStop w:val="68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xPage" w:val="True"/>
    <w:docVar w:name="ContentsPage" w:val="True"/>
    <w:docVar w:name="ContentsPageAppendixTOC" w:val="True"/>
    <w:docVar w:name="ContentsPageNo" w:val="2"/>
    <w:docVar w:name="ContentsPageTOCType" w:val="2"/>
    <w:docVar w:name="CurrentTemplateName" w:val="Hatch Regeneris 2018.dotm"/>
    <w:docVar w:name="CurrentTemplateVersion" w:val="3.05"/>
    <w:docVar w:name="Dear" w:val="Name"/>
    <w:docVar w:name="DocClientName" w:val="Volunteer it Yourself"/>
    <w:docVar w:name="DocDate" w:val="21 March 2019"/>
    <w:docVar w:name="DocTemplateName" w:val="Hatch Regeneris 2018.dotm"/>
    <w:docVar w:name="DocTitle" w:val="Volunteer it Yourself Evaluation "/>
    <w:docVar w:name="DocType" w:val="Final"/>
    <w:docVar w:name="ExecSummaryPage" w:val="True"/>
    <w:docVar w:name="ExecSummPage" w:val="TRUE"/>
    <w:docVar w:name="FooterDocNo" w:val="VIY Final Evaluation.docx"/>
    <w:docVar w:name="FooterPandC" w:val=" "/>
    <w:docVar w:name="HeaderText" w:val="Volunteer it Yourself Evaluation "/>
    <w:docVar w:name="InitialTemplateName" w:val="Hatch Regeneris 2018.dotm"/>
    <w:docVar w:name="InitialTemplateVersion" w:val="3.05"/>
    <w:docVar w:name="MainPage" w:val="True"/>
    <w:docVar w:name="NewDoc" w:val="False"/>
    <w:docVar w:name="Subject" w:val="Subject: Optional subject"/>
    <w:docVar w:name="TitlePage" w:val="True"/>
    <w:docVar w:name="TitlePageImage" w:val="False"/>
  </w:docVars>
  <w:rsids>
    <w:rsidRoot w:val="00DA1ABE"/>
    <w:rsid w:val="00000444"/>
    <w:rsid w:val="0000094B"/>
    <w:rsid w:val="00000CAD"/>
    <w:rsid w:val="00000D1F"/>
    <w:rsid w:val="00000F63"/>
    <w:rsid w:val="000012DE"/>
    <w:rsid w:val="0000196D"/>
    <w:rsid w:val="00001D6A"/>
    <w:rsid w:val="000021CA"/>
    <w:rsid w:val="000022C1"/>
    <w:rsid w:val="00003004"/>
    <w:rsid w:val="000033D3"/>
    <w:rsid w:val="0000361C"/>
    <w:rsid w:val="000038BC"/>
    <w:rsid w:val="00003CD7"/>
    <w:rsid w:val="00004100"/>
    <w:rsid w:val="000044F4"/>
    <w:rsid w:val="00004521"/>
    <w:rsid w:val="00004597"/>
    <w:rsid w:val="00004F8A"/>
    <w:rsid w:val="00004FBF"/>
    <w:rsid w:val="0000585B"/>
    <w:rsid w:val="00005917"/>
    <w:rsid w:val="00005DF7"/>
    <w:rsid w:val="00006A6D"/>
    <w:rsid w:val="00006B06"/>
    <w:rsid w:val="00006D2E"/>
    <w:rsid w:val="000072A0"/>
    <w:rsid w:val="00010192"/>
    <w:rsid w:val="000104B0"/>
    <w:rsid w:val="00010508"/>
    <w:rsid w:val="00011925"/>
    <w:rsid w:val="00012468"/>
    <w:rsid w:val="00012FA0"/>
    <w:rsid w:val="00012FAE"/>
    <w:rsid w:val="00013030"/>
    <w:rsid w:val="0001312F"/>
    <w:rsid w:val="0001362D"/>
    <w:rsid w:val="000136B2"/>
    <w:rsid w:val="000136DF"/>
    <w:rsid w:val="0001383A"/>
    <w:rsid w:val="00013A24"/>
    <w:rsid w:val="00013F2C"/>
    <w:rsid w:val="00014058"/>
    <w:rsid w:val="00014139"/>
    <w:rsid w:val="00014165"/>
    <w:rsid w:val="00014521"/>
    <w:rsid w:val="0001459E"/>
    <w:rsid w:val="00015245"/>
    <w:rsid w:val="00015490"/>
    <w:rsid w:val="0001637B"/>
    <w:rsid w:val="00016C8C"/>
    <w:rsid w:val="00016CCA"/>
    <w:rsid w:val="00016D6C"/>
    <w:rsid w:val="000177A3"/>
    <w:rsid w:val="00017A45"/>
    <w:rsid w:val="00017FB5"/>
    <w:rsid w:val="0002024B"/>
    <w:rsid w:val="00020422"/>
    <w:rsid w:val="00020EC6"/>
    <w:rsid w:val="000227A0"/>
    <w:rsid w:val="00023184"/>
    <w:rsid w:val="00023798"/>
    <w:rsid w:val="00023EAB"/>
    <w:rsid w:val="00024524"/>
    <w:rsid w:val="00024798"/>
    <w:rsid w:val="00024F06"/>
    <w:rsid w:val="00024FD0"/>
    <w:rsid w:val="000251D2"/>
    <w:rsid w:val="00025581"/>
    <w:rsid w:val="00025F7C"/>
    <w:rsid w:val="00026481"/>
    <w:rsid w:val="00026852"/>
    <w:rsid w:val="00026B77"/>
    <w:rsid w:val="00027278"/>
    <w:rsid w:val="00027367"/>
    <w:rsid w:val="0002751A"/>
    <w:rsid w:val="000301CB"/>
    <w:rsid w:val="00030EA4"/>
    <w:rsid w:val="00031CB8"/>
    <w:rsid w:val="0003224F"/>
    <w:rsid w:val="00032AAA"/>
    <w:rsid w:val="00032E9B"/>
    <w:rsid w:val="000337B5"/>
    <w:rsid w:val="00033B62"/>
    <w:rsid w:val="00034743"/>
    <w:rsid w:val="00034DD2"/>
    <w:rsid w:val="00034E57"/>
    <w:rsid w:val="00034F3B"/>
    <w:rsid w:val="00035752"/>
    <w:rsid w:val="0003683A"/>
    <w:rsid w:val="00036F28"/>
    <w:rsid w:val="000373B6"/>
    <w:rsid w:val="000373B8"/>
    <w:rsid w:val="0003786F"/>
    <w:rsid w:val="00037DCD"/>
    <w:rsid w:val="00040450"/>
    <w:rsid w:val="00040A34"/>
    <w:rsid w:val="00040E3C"/>
    <w:rsid w:val="0004172B"/>
    <w:rsid w:val="00041B2A"/>
    <w:rsid w:val="000423E9"/>
    <w:rsid w:val="00042549"/>
    <w:rsid w:val="00042F6E"/>
    <w:rsid w:val="000436BC"/>
    <w:rsid w:val="000436D5"/>
    <w:rsid w:val="00043746"/>
    <w:rsid w:val="000444FB"/>
    <w:rsid w:val="00044547"/>
    <w:rsid w:val="000451AE"/>
    <w:rsid w:val="000454F7"/>
    <w:rsid w:val="00046297"/>
    <w:rsid w:val="00046E3E"/>
    <w:rsid w:val="00047523"/>
    <w:rsid w:val="00047532"/>
    <w:rsid w:val="00047718"/>
    <w:rsid w:val="000477D6"/>
    <w:rsid w:val="00047EF2"/>
    <w:rsid w:val="00050144"/>
    <w:rsid w:val="000501CC"/>
    <w:rsid w:val="0005030D"/>
    <w:rsid w:val="00050411"/>
    <w:rsid w:val="00050AED"/>
    <w:rsid w:val="00050F09"/>
    <w:rsid w:val="00051380"/>
    <w:rsid w:val="000513F8"/>
    <w:rsid w:val="0005143B"/>
    <w:rsid w:val="000514EA"/>
    <w:rsid w:val="00051677"/>
    <w:rsid w:val="000517C7"/>
    <w:rsid w:val="00051F3F"/>
    <w:rsid w:val="0005207F"/>
    <w:rsid w:val="00052308"/>
    <w:rsid w:val="00052615"/>
    <w:rsid w:val="00052E85"/>
    <w:rsid w:val="0005301B"/>
    <w:rsid w:val="00054260"/>
    <w:rsid w:val="000547AD"/>
    <w:rsid w:val="000548EE"/>
    <w:rsid w:val="00054B43"/>
    <w:rsid w:val="00054EB1"/>
    <w:rsid w:val="000554AC"/>
    <w:rsid w:val="00055519"/>
    <w:rsid w:val="00055A5F"/>
    <w:rsid w:val="00055A6A"/>
    <w:rsid w:val="00056308"/>
    <w:rsid w:val="00056371"/>
    <w:rsid w:val="00056953"/>
    <w:rsid w:val="00056BF1"/>
    <w:rsid w:val="0005757B"/>
    <w:rsid w:val="000575F3"/>
    <w:rsid w:val="000577FB"/>
    <w:rsid w:val="00057AE4"/>
    <w:rsid w:val="00057C6F"/>
    <w:rsid w:val="000609C1"/>
    <w:rsid w:val="0006166D"/>
    <w:rsid w:val="0006266F"/>
    <w:rsid w:val="000628C6"/>
    <w:rsid w:val="000645AE"/>
    <w:rsid w:val="00064EC9"/>
    <w:rsid w:val="00065803"/>
    <w:rsid w:val="0006591F"/>
    <w:rsid w:val="00065ADE"/>
    <w:rsid w:val="00065F7A"/>
    <w:rsid w:val="00066B55"/>
    <w:rsid w:val="00066C0B"/>
    <w:rsid w:val="00067100"/>
    <w:rsid w:val="00067680"/>
    <w:rsid w:val="00067856"/>
    <w:rsid w:val="00067A48"/>
    <w:rsid w:val="00067C89"/>
    <w:rsid w:val="00070343"/>
    <w:rsid w:val="000710B1"/>
    <w:rsid w:val="000715A0"/>
    <w:rsid w:val="000729A8"/>
    <w:rsid w:val="00072A82"/>
    <w:rsid w:val="00072C9F"/>
    <w:rsid w:val="000737A3"/>
    <w:rsid w:val="00074330"/>
    <w:rsid w:val="00076002"/>
    <w:rsid w:val="000765AA"/>
    <w:rsid w:val="000770FE"/>
    <w:rsid w:val="00077894"/>
    <w:rsid w:val="00077DF2"/>
    <w:rsid w:val="000808DA"/>
    <w:rsid w:val="000809BB"/>
    <w:rsid w:val="00081148"/>
    <w:rsid w:val="00081C4E"/>
    <w:rsid w:val="00081FBF"/>
    <w:rsid w:val="00082133"/>
    <w:rsid w:val="00083391"/>
    <w:rsid w:val="00083B98"/>
    <w:rsid w:val="00083E28"/>
    <w:rsid w:val="00083FA4"/>
    <w:rsid w:val="000842FD"/>
    <w:rsid w:val="000846AF"/>
    <w:rsid w:val="00085156"/>
    <w:rsid w:val="00085609"/>
    <w:rsid w:val="00085A74"/>
    <w:rsid w:val="00086187"/>
    <w:rsid w:val="000864FD"/>
    <w:rsid w:val="00086C79"/>
    <w:rsid w:val="000870E2"/>
    <w:rsid w:val="00090A3F"/>
    <w:rsid w:val="000921DD"/>
    <w:rsid w:val="0009283D"/>
    <w:rsid w:val="000929CC"/>
    <w:rsid w:val="00092A48"/>
    <w:rsid w:val="00092A52"/>
    <w:rsid w:val="00092DB4"/>
    <w:rsid w:val="00093B1B"/>
    <w:rsid w:val="00093CF6"/>
    <w:rsid w:val="00093EFA"/>
    <w:rsid w:val="00094387"/>
    <w:rsid w:val="0009446A"/>
    <w:rsid w:val="000944A5"/>
    <w:rsid w:val="0009458F"/>
    <w:rsid w:val="00094CF3"/>
    <w:rsid w:val="000951B7"/>
    <w:rsid w:val="00095443"/>
    <w:rsid w:val="0009637B"/>
    <w:rsid w:val="000967C3"/>
    <w:rsid w:val="00097C0A"/>
    <w:rsid w:val="000A09FF"/>
    <w:rsid w:val="000A0C8D"/>
    <w:rsid w:val="000A10C1"/>
    <w:rsid w:val="000A146F"/>
    <w:rsid w:val="000A1478"/>
    <w:rsid w:val="000A2192"/>
    <w:rsid w:val="000A316C"/>
    <w:rsid w:val="000A3623"/>
    <w:rsid w:val="000A3ED5"/>
    <w:rsid w:val="000A42B5"/>
    <w:rsid w:val="000A481D"/>
    <w:rsid w:val="000A4894"/>
    <w:rsid w:val="000A49B7"/>
    <w:rsid w:val="000A4BC3"/>
    <w:rsid w:val="000A4C7D"/>
    <w:rsid w:val="000A4EA7"/>
    <w:rsid w:val="000A4EB0"/>
    <w:rsid w:val="000A4F66"/>
    <w:rsid w:val="000A52CF"/>
    <w:rsid w:val="000A5976"/>
    <w:rsid w:val="000A5DE9"/>
    <w:rsid w:val="000A60C8"/>
    <w:rsid w:val="000A6319"/>
    <w:rsid w:val="000A7540"/>
    <w:rsid w:val="000A7F77"/>
    <w:rsid w:val="000B0C27"/>
    <w:rsid w:val="000B1362"/>
    <w:rsid w:val="000B2049"/>
    <w:rsid w:val="000B2188"/>
    <w:rsid w:val="000B262D"/>
    <w:rsid w:val="000B2A17"/>
    <w:rsid w:val="000B30A0"/>
    <w:rsid w:val="000B3307"/>
    <w:rsid w:val="000B34C5"/>
    <w:rsid w:val="000B4AC4"/>
    <w:rsid w:val="000B4F8E"/>
    <w:rsid w:val="000B4FA3"/>
    <w:rsid w:val="000B55BE"/>
    <w:rsid w:val="000B5841"/>
    <w:rsid w:val="000B66F5"/>
    <w:rsid w:val="000B6858"/>
    <w:rsid w:val="000B7508"/>
    <w:rsid w:val="000B798F"/>
    <w:rsid w:val="000C012D"/>
    <w:rsid w:val="000C03B5"/>
    <w:rsid w:val="000C0EBC"/>
    <w:rsid w:val="000C1048"/>
    <w:rsid w:val="000C12C7"/>
    <w:rsid w:val="000C1363"/>
    <w:rsid w:val="000C304F"/>
    <w:rsid w:val="000C306B"/>
    <w:rsid w:val="000C37F1"/>
    <w:rsid w:val="000C3F44"/>
    <w:rsid w:val="000C416F"/>
    <w:rsid w:val="000C4209"/>
    <w:rsid w:val="000C4E20"/>
    <w:rsid w:val="000C4E23"/>
    <w:rsid w:val="000C519C"/>
    <w:rsid w:val="000C52BE"/>
    <w:rsid w:val="000C5C82"/>
    <w:rsid w:val="000C61B0"/>
    <w:rsid w:val="000C61FA"/>
    <w:rsid w:val="000C6EBF"/>
    <w:rsid w:val="000C72F9"/>
    <w:rsid w:val="000C75D1"/>
    <w:rsid w:val="000C7CBE"/>
    <w:rsid w:val="000C7F72"/>
    <w:rsid w:val="000D0215"/>
    <w:rsid w:val="000D0572"/>
    <w:rsid w:val="000D1067"/>
    <w:rsid w:val="000D1478"/>
    <w:rsid w:val="000D1AEC"/>
    <w:rsid w:val="000D2021"/>
    <w:rsid w:val="000D2166"/>
    <w:rsid w:val="000D23C3"/>
    <w:rsid w:val="000D2530"/>
    <w:rsid w:val="000D2BA1"/>
    <w:rsid w:val="000D361C"/>
    <w:rsid w:val="000D3B40"/>
    <w:rsid w:val="000D3BB6"/>
    <w:rsid w:val="000D480F"/>
    <w:rsid w:val="000D4B86"/>
    <w:rsid w:val="000D4CE5"/>
    <w:rsid w:val="000D4E44"/>
    <w:rsid w:val="000D511E"/>
    <w:rsid w:val="000D541F"/>
    <w:rsid w:val="000D6103"/>
    <w:rsid w:val="000D61B5"/>
    <w:rsid w:val="000D63E9"/>
    <w:rsid w:val="000D64B8"/>
    <w:rsid w:val="000D6807"/>
    <w:rsid w:val="000D722F"/>
    <w:rsid w:val="000D7379"/>
    <w:rsid w:val="000E0579"/>
    <w:rsid w:val="000E0939"/>
    <w:rsid w:val="000E095D"/>
    <w:rsid w:val="000E104A"/>
    <w:rsid w:val="000E1718"/>
    <w:rsid w:val="000E234E"/>
    <w:rsid w:val="000E2C34"/>
    <w:rsid w:val="000E326D"/>
    <w:rsid w:val="000E38CD"/>
    <w:rsid w:val="000E522C"/>
    <w:rsid w:val="000E566B"/>
    <w:rsid w:val="000E5A55"/>
    <w:rsid w:val="000E5E9A"/>
    <w:rsid w:val="000E5EF8"/>
    <w:rsid w:val="000E61E0"/>
    <w:rsid w:val="000E7883"/>
    <w:rsid w:val="000E7A6A"/>
    <w:rsid w:val="000E7AFA"/>
    <w:rsid w:val="000E7BA4"/>
    <w:rsid w:val="000F00DC"/>
    <w:rsid w:val="000F0148"/>
    <w:rsid w:val="000F04B3"/>
    <w:rsid w:val="000F075C"/>
    <w:rsid w:val="000F1252"/>
    <w:rsid w:val="000F17FA"/>
    <w:rsid w:val="000F1ECD"/>
    <w:rsid w:val="000F2A86"/>
    <w:rsid w:val="000F2F0A"/>
    <w:rsid w:val="000F31CF"/>
    <w:rsid w:val="000F3386"/>
    <w:rsid w:val="000F3781"/>
    <w:rsid w:val="000F3B22"/>
    <w:rsid w:val="000F3B8A"/>
    <w:rsid w:val="000F3B8C"/>
    <w:rsid w:val="000F3FC3"/>
    <w:rsid w:val="000F40DE"/>
    <w:rsid w:val="000F43B8"/>
    <w:rsid w:val="000F47C1"/>
    <w:rsid w:val="000F489B"/>
    <w:rsid w:val="000F4C9C"/>
    <w:rsid w:val="000F4EEE"/>
    <w:rsid w:val="000F5698"/>
    <w:rsid w:val="000F592B"/>
    <w:rsid w:val="000F5B90"/>
    <w:rsid w:val="000F6039"/>
    <w:rsid w:val="000F6B58"/>
    <w:rsid w:val="000F6F9E"/>
    <w:rsid w:val="000F7015"/>
    <w:rsid w:val="000F707E"/>
    <w:rsid w:val="000F71C6"/>
    <w:rsid w:val="000F72B6"/>
    <w:rsid w:val="00100327"/>
    <w:rsid w:val="00100657"/>
    <w:rsid w:val="001007FD"/>
    <w:rsid w:val="00100D0A"/>
    <w:rsid w:val="001015E8"/>
    <w:rsid w:val="001016A4"/>
    <w:rsid w:val="0010192E"/>
    <w:rsid w:val="0010249A"/>
    <w:rsid w:val="0010354E"/>
    <w:rsid w:val="0010378D"/>
    <w:rsid w:val="00103DF0"/>
    <w:rsid w:val="00104BE7"/>
    <w:rsid w:val="00104FC0"/>
    <w:rsid w:val="0010516D"/>
    <w:rsid w:val="0010569E"/>
    <w:rsid w:val="00105821"/>
    <w:rsid w:val="0010623E"/>
    <w:rsid w:val="0010626C"/>
    <w:rsid w:val="001062A4"/>
    <w:rsid w:val="00106E63"/>
    <w:rsid w:val="00106F3D"/>
    <w:rsid w:val="00107068"/>
    <w:rsid w:val="0010727F"/>
    <w:rsid w:val="00107D44"/>
    <w:rsid w:val="001104A5"/>
    <w:rsid w:val="0011152D"/>
    <w:rsid w:val="001118B8"/>
    <w:rsid w:val="00111AEF"/>
    <w:rsid w:val="00112000"/>
    <w:rsid w:val="001125FB"/>
    <w:rsid w:val="00112F82"/>
    <w:rsid w:val="00112F87"/>
    <w:rsid w:val="001134FC"/>
    <w:rsid w:val="00113A29"/>
    <w:rsid w:val="00114558"/>
    <w:rsid w:val="001145C9"/>
    <w:rsid w:val="00114D1B"/>
    <w:rsid w:val="00115881"/>
    <w:rsid w:val="00115BBD"/>
    <w:rsid w:val="00115CF3"/>
    <w:rsid w:val="00115D3B"/>
    <w:rsid w:val="001169D1"/>
    <w:rsid w:val="0011798C"/>
    <w:rsid w:val="00120CD3"/>
    <w:rsid w:val="00120E64"/>
    <w:rsid w:val="001217F2"/>
    <w:rsid w:val="00122DAC"/>
    <w:rsid w:val="00122F64"/>
    <w:rsid w:val="001239B2"/>
    <w:rsid w:val="00124323"/>
    <w:rsid w:val="00124485"/>
    <w:rsid w:val="001249EE"/>
    <w:rsid w:val="00124D7A"/>
    <w:rsid w:val="00125275"/>
    <w:rsid w:val="00125396"/>
    <w:rsid w:val="00125506"/>
    <w:rsid w:val="0012582B"/>
    <w:rsid w:val="0012585E"/>
    <w:rsid w:val="00126111"/>
    <w:rsid w:val="001267E4"/>
    <w:rsid w:val="00126E73"/>
    <w:rsid w:val="0012770A"/>
    <w:rsid w:val="001301F5"/>
    <w:rsid w:val="0013074E"/>
    <w:rsid w:val="00130BDB"/>
    <w:rsid w:val="001325CF"/>
    <w:rsid w:val="00132E00"/>
    <w:rsid w:val="00133118"/>
    <w:rsid w:val="0013388D"/>
    <w:rsid w:val="001348B1"/>
    <w:rsid w:val="001353CC"/>
    <w:rsid w:val="0013574C"/>
    <w:rsid w:val="001359AD"/>
    <w:rsid w:val="001362F4"/>
    <w:rsid w:val="001365F1"/>
    <w:rsid w:val="00136779"/>
    <w:rsid w:val="00136C84"/>
    <w:rsid w:val="00137262"/>
    <w:rsid w:val="00137279"/>
    <w:rsid w:val="00137CEC"/>
    <w:rsid w:val="001408DC"/>
    <w:rsid w:val="001411BD"/>
    <w:rsid w:val="0014197B"/>
    <w:rsid w:val="00141B1B"/>
    <w:rsid w:val="00141C2F"/>
    <w:rsid w:val="001420CF"/>
    <w:rsid w:val="00142A1C"/>
    <w:rsid w:val="001438C7"/>
    <w:rsid w:val="00143B05"/>
    <w:rsid w:val="00143B28"/>
    <w:rsid w:val="00143FC7"/>
    <w:rsid w:val="00144073"/>
    <w:rsid w:val="00144244"/>
    <w:rsid w:val="00144C08"/>
    <w:rsid w:val="00144E97"/>
    <w:rsid w:val="001453A6"/>
    <w:rsid w:val="0014545B"/>
    <w:rsid w:val="001461CD"/>
    <w:rsid w:val="0014673F"/>
    <w:rsid w:val="00146FF8"/>
    <w:rsid w:val="00147046"/>
    <w:rsid w:val="00147125"/>
    <w:rsid w:val="0014719E"/>
    <w:rsid w:val="0014754C"/>
    <w:rsid w:val="0014760D"/>
    <w:rsid w:val="0015054B"/>
    <w:rsid w:val="001508AB"/>
    <w:rsid w:val="00150DA8"/>
    <w:rsid w:val="001514BD"/>
    <w:rsid w:val="0015238A"/>
    <w:rsid w:val="001524C0"/>
    <w:rsid w:val="00153040"/>
    <w:rsid w:val="00153AD8"/>
    <w:rsid w:val="00153B2F"/>
    <w:rsid w:val="00154E29"/>
    <w:rsid w:val="00154E95"/>
    <w:rsid w:val="00154FED"/>
    <w:rsid w:val="0015559D"/>
    <w:rsid w:val="0015583A"/>
    <w:rsid w:val="00155E05"/>
    <w:rsid w:val="001565E3"/>
    <w:rsid w:val="00156871"/>
    <w:rsid w:val="00156C68"/>
    <w:rsid w:val="00156E85"/>
    <w:rsid w:val="00157DC5"/>
    <w:rsid w:val="00160CE5"/>
    <w:rsid w:val="001611BA"/>
    <w:rsid w:val="00161559"/>
    <w:rsid w:val="00161D11"/>
    <w:rsid w:val="00162275"/>
    <w:rsid w:val="00162B47"/>
    <w:rsid w:val="00163040"/>
    <w:rsid w:val="0016315E"/>
    <w:rsid w:val="00163178"/>
    <w:rsid w:val="00163917"/>
    <w:rsid w:val="00163A58"/>
    <w:rsid w:val="00163BCB"/>
    <w:rsid w:val="00163E44"/>
    <w:rsid w:val="00163F2C"/>
    <w:rsid w:val="00163F94"/>
    <w:rsid w:val="0016469E"/>
    <w:rsid w:val="001648F2"/>
    <w:rsid w:val="00164B1C"/>
    <w:rsid w:val="001655CC"/>
    <w:rsid w:val="00165AA4"/>
    <w:rsid w:val="001666D5"/>
    <w:rsid w:val="00166D0F"/>
    <w:rsid w:val="00170C52"/>
    <w:rsid w:val="0017101D"/>
    <w:rsid w:val="00171258"/>
    <w:rsid w:val="0017144F"/>
    <w:rsid w:val="00171624"/>
    <w:rsid w:val="00171D27"/>
    <w:rsid w:val="00172178"/>
    <w:rsid w:val="001724CC"/>
    <w:rsid w:val="00172D39"/>
    <w:rsid w:val="00172F92"/>
    <w:rsid w:val="0017365C"/>
    <w:rsid w:val="00173831"/>
    <w:rsid w:val="0017386E"/>
    <w:rsid w:val="00173C89"/>
    <w:rsid w:val="001740D9"/>
    <w:rsid w:val="00174176"/>
    <w:rsid w:val="001747D1"/>
    <w:rsid w:val="001755D2"/>
    <w:rsid w:val="00175BFA"/>
    <w:rsid w:val="001774B6"/>
    <w:rsid w:val="00177D27"/>
    <w:rsid w:val="00177D28"/>
    <w:rsid w:val="001802E2"/>
    <w:rsid w:val="00181265"/>
    <w:rsid w:val="00181562"/>
    <w:rsid w:val="00181F08"/>
    <w:rsid w:val="001829C0"/>
    <w:rsid w:val="00183539"/>
    <w:rsid w:val="00183E11"/>
    <w:rsid w:val="00184AC9"/>
    <w:rsid w:val="001856C2"/>
    <w:rsid w:val="00185817"/>
    <w:rsid w:val="00185A28"/>
    <w:rsid w:val="00185BF3"/>
    <w:rsid w:val="001862E0"/>
    <w:rsid w:val="00186353"/>
    <w:rsid w:val="00186D60"/>
    <w:rsid w:val="001871C6"/>
    <w:rsid w:val="001874F0"/>
    <w:rsid w:val="00187EF7"/>
    <w:rsid w:val="0019002F"/>
    <w:rsid w:val="00190817"/>
    <w:rsid w:val="00191DCF"/>
    <w:rsid w:val="00191E1B"/>
    <w:rsid w:val="001929EA"/>
    <w:rsid w:val="00192B9D"/>
    <w:rsid w:val="00192C7F"/>
    <w:rsid w:val="00192E96"/>
    <w:rsid w:val="001941B2"/>
    <w:rsid w:val="001944AC"/>
    <w:rsid w:val="001944FD"/>
    <w:rsid w:val="001945AA"/>
    <w:rsid w:val="00194DD5"/>
    <w:rsid w:val="00195138"/>
    <w:rsid w:val="001951D2"/>
    <w:rsid w:val="00195379"/>
    <w:rsid w:val="001953B0"/>
    <w:rsid w:val="00195C66"/>
    <w:rsid w:val="00196114"/>
    <w:rsid w:val="001961F9"/>
    <w:rsid w:val="0019628A"/>
    <w:rsid w:val="0019646E"/>
    <w:rsid w:val="00196EED"/>
    <w:rsid w:val="00197241"/>
    <w:rsid w:val="00197335"/>
    <w:rsid w:val="00197CD5"/>
    <w:rsid w:val="001A12B3"/>
    <w:rsid w:val="001A13B4"/>
    <w:rsid w:val="001A15A9"/>
    <w:rsid w:val="001A15DB"/>
    <w:rsid w:val="001A1E06"/>
    <w:rsid w:val="001A266B"/>
    <w:rsid w:val="001A31A2"/>
    <w:rsid w:val="001A367E"/>
    <w:rsid w:val="001A3C50"/>
    <w:rsid w:val="001A4FC2"/>
    <w:rsid w:val="001A504A"/>
    <w:rsid w:val="001A569E"/>
    <w:rsid w:val="001A56E1"/>
    <w:rsid w:val="001A5951"/>
    <w:rsid w:val="001A5992"/>
    <w:rsid w:val="001A5B1B"/>
    <w:rsid w:val="001A5DB4"/>
    <w:rsid w:val="001A64F6"/>
    <w:rsid w:val="001A6DB0"/>
    <w:rsid w:val="001A7237"/>
    <w:rsid w:val="001A7EB8"/>
    <w:rsid w:val="001B020F"/>
    <w:rsid w:val="001B1411"/>
    <w:rsid w:val="001B25AE"/>
    <w:rsid w:val="001B2E01"/>
    <w:rsid w:val="001B2E10"/>
    <w:rsid w:val="001B32C1"/>
    <w:rsid w:val="001B4259"/>
    <w:rsid w:val="001B43BB"/>
    <w:rsid w:val="001B51E5"/>
    <w:rsid w:val="001B5FA6"/>
    <w:rsid w:val="001B637F"/>
    <w:rsid w:val="001B65B5"/>
    <w:rsid w:val="001B68C8"/>
    <w:rsid w:val="001B746D"/>
    <w:rsid w:val="001B75F3"/>
    <w:rsid w:val="001B7676"/>
    <w:rsid w:val="001B76B1"/>
    <w:rsid w:val="001B78A9"/>
    <w:rsid w:val="001B7AA1"/>
    <w:rsid w:val="001C033F"/>
    <w:rsid w:val="001C0AD5"/>
    <w:rsid w:val="001C0FA4"/>
    <w:rsid w:val="001C1677"/>
    <w:rsid w:val="001C1E96"/>
    <w:rsid w:val="001C208C"/>
    <w:rsid w:val="001C2149"/>
    <w:rsid w:val="001C30D7"/>
    <w:rsid w:val="001C36A7"/>
    <w:rsid w:val="001C37FF"/>
    <w:rsid w:val="001C4346"/>
    <w:rsid w:val="001C50D4"/>
    <w:rsid w:val="001C57FB"/>
    <w:rsid w:val="001C5D0F"/>
    <w:rsid w:val="001C6415"/>
    <w:rsid w:val="001C64E4"/>
    <w:rsid w:val="001C65F4"/>
    <w:rsid w:val="001C6B75"/>
    <w:rsid w:val="001C6B76"/>
    <w:rsid w:val="001C6E77"/>
    <w:rsid w:val="001C6F44"/>
    <w:rsid w:val="001C6F75"/>
    <w:rsid w:val="001C74AB"/>
    <w:rsid w:val="001C7B39"/>
    <w:rsid w:val="001D0327"/>
    <w:rsid w:val="001D068E"/>
    <w:rsid w:val="001D0D7A"/>
    <w:rsid w:val="001D1978"/>
    <w:rsid w:val="001D1DC7"/>
    <w:rsid w:val="001D2DA7"/>
    <w:rsid w:val="001D30F9"/>
    <w:rsid w:val="001D3176"/>
    <w:rsid w:val="001D374D"/>
    <w:rsid w:val="001D3F1F"/>
    <w:rsid w:val="001D4089"/>
    <w:rsid w:val="001D410A"/>
    <w:rsid w:val="001D4217"/>
    <w:rsid w:val="001D4C9D"/>
    <w:rsid w:val="001D4CF1"/>
    <w:rsid w:val="001D5200"/>
    <w:rsid w:val="001D595A"/>
    <w:rsid w:val="001D5C98"/>
    <w:rsid w:val="001D5CEB"/>
    <w:rsid w:val="001D5EB2"/>
    <w:rsid w:val="001D6CC9"/>
    <w:rsid w:val="001D73D1"/>
    <w:rsid w:val="001D79E8"/>
    <w:rsid w:val="001D7A68"/>
    <w:rsid w:val="001D7B44"/>
    <w:rsid w:val="001D7EA4"/>
    <w:rsid w:val="001E007B"/>
    <w:rsid w:val="001E0127"/>
    <w:rsid w:val="001E01E3"/>
    <w:rsid w:val="001E0728"/>
    <w:rsid w:val="001E0BF1"/>
    <w:rsid w:val="001E0E8C"/>
    <w:rsid w:val="001E0FAC"/>
    <w:rsid w:val="001E17DF"/>
    <w:rsid w:val="001E2590"/>
    <w:rsid w:val="001E261E"/>
    <w:rsid w:val="001E27AD"/>
    <w:rsid w:val="001E2A11"/>
    <w:rsid w:val="001E2D90"/>
    <w:rsid w:val="001E31BA"/>
    <w:rsid w:val="001E3664"/>
    <w:rsid w:val="001E406C"/>
    <w:rsid w:val="001E432E"/>
    <w:rsid w:val="001E457F"/>
    <w:rsid w:val="001E4627"/>
    <w:rsid w:val="001E4D9C"/>
    <w:rsid w:val="001E4E0F"/>
    <w:rsid w:val="001E5107"/>
    <w:rsid w:val="001E5BB7"/>
    <w:rsid w:val="001E6418"/>
    <w:rsid w:val="001E650F"/>
    <w:rsid w:val="001E6D6D"/>
    <w:rsid w:val="001E6D8B"/>
    <w:rsid w:val="001E794C"/>
    <w:rsid w:val="001E7966"/>
    <w:rsid w:val="001E79A7"/>
    <w:rsid w:val="001F01CC"/>
    <w:rsid w:val="001F0D52"/>
    <w:rsid w:val="001F25B4"/>
    <w:rsid w:val="001F31EB"/>
    <w:rsid w:val="001F34CC"/>
    <w:rsid w:val="001F44A8"/>
    <w:rsid w:val="001F471D"/>
    <w:rsid w:val="001F4BF7"/>
    <w:rsid w:val="001F5386"/>
    <w:rsid w:val="001F540C"/>
    <w:rsid w:val="001F540D"/>
    <w:rsid w:val="001F5464"/>
    <w:rsid w:val="001F578B"/>
    <w:rsid w:val="001F5C72"/>
    <w:rsid w:val="001F7233"/>
    <w:rsid w:val="001F73CF"/>
    <w:rsid w:val="001F74A3"/>
    <w:rsid w:val="001F7654"/>
    <w:rsid w:val="001F7D17"/>
    <w:rsid w:val="002001B6"/>
    <w:rsid w:val="002011A1"/>
    <w:rsid w:val="0020132F"/>
    <w:rsid w:val="0020133A"/>
    <w:rsid w:val="0020160E"/>
    <w:rsid w:val="002020E8"/>
    <w:rsid w:val="00202234"/>
    <w:rsid w:val="00202CEB"/>
    <w:rsid w:val="00202F14"/>
    <w:rsid w:val="0020339B"/>
    <w:rsid w:val="00203674"/>
    <w:rsid w:val="00203EFC"/>
    <w:rsid w:val="00203FA7"/>
    <w:rsid w:val="002047DB"/>
    <w:rsid w:val="002049D0"/>
    <w:rsid w:val="00204E5D"/>
    <w:rsid w:val="002051C0"/>
    <w:rsid w:val="00205773"/>
    <w:rsid w:val="0020622E"/>
    <w:rsid w:val="002069AF"/>
    <w:rsid w:val="002071FA"/>
    <w:rsid w:val="00210764"/>
    <w:rsid w:val="0021076B"/>
    <w:rsid w:val="002107DC"/>
    <w:rsid w:val="002109AE"/>
    <w:rsid w:val="00211D0C"/>
    <w:rsid w:val="00211E42"/>
    <w:rsid w:val="00212496"/>
    <w:rsid w:val="002124ED"/>
    <w:rsid w:val="002129F3"/>
    <w:rsid w:val="00212A2D"/>
    <w:rsid w:val="00212C4E"/>
    <w:rsid w:val="00213C4C"/>
    <w:rsid w:val="00213D26"/>
    <w:rsid w:val="002151C3"/>
    <w:rsid w:val="0021571B"/>
    <w:rsid w:val="002159E2"/>
    <w:rsid w:val="00215AE5"/>
    <w:rsid w:val="002169B1"/>
    <w:rsid w:val="00216AEF"/>
    <w:rsid w:val="0022054E"/>
    <w:rsid w:val="00220E65"/>
    <w:rsid w:val="002212CB"/>
    <w:rsid w:val="00221D8E"/>
    <w:rsid w:val="002223A7"/>
    <w:rsid w:val="00222E3C"/>
    <w:rsid w:val="00223704"/>
    <w:rsid w:val="0022395E"/>
    <w:rsid w:val="0022443D"/>
    <w:rsid w:val="002250D7"/>
    <w:rsid w:val="00225668"/>
    <w:rsid w:val="002259A1"/>
    <w:rsid w:val="0022636E"/>
    <w:rsid w:val="00226495"/>
    <w:rsid w:val="0022698D"/>
    <w:rsid w:val="00226E79"/>
    <w:rsid w:val="0022761B"/>
    <w:rsid w:val="0023046D"/>
    <w:rsid w:val="0023108F"/>
    <w:rsid w:val="00231592"/>
    <w:rsid w:val="002323D9"/>
    <w:rsid w:val="0023256B"/>
    <w:rsid w:val="00232A3F"/>
    <w:rsid w:val="002332DB"/>
    <w:rsid w:val="00234747"/>
    <w:rsid w:val="00234A8D"/>
    <w:rsid w:val="002358EC"/>
    <w:rsid w:val="00235AC2"/>
    <w:rsid w:val="00235FCC"/>
    <w:rsid w:val="00236D0D"/>
    <w:rsid w:val="002374B5"/>
    <w:rsid w:val="00237DE2"/>
    <w:rsid w:val="002423CD"/>
    <w:rsid w:val="00242CFE"/>
    <w:rsid w:val="00243B3D"/>
    <w:rsid w:val="00244314"/>
    <w:rsid w:val="002449F7"/>
    <w:rsid w:val="00245AF6"/>
    <w:rsid w:val="00245E47"/>
    <w:rsid w:val="00246385"/>
    <w:rsid w:val="002471E1"/>
    <w:rsid w:val="002472E2"/>
    <w:rsid w:val="002474CC"/>
    <w:rsid w:val="00247713"/>
    <w:rsid w:val="00247D97"/>
    <w:rsid w:val="00247FF6"/>
    <w:rsid w:val="00250461"/>
    <w:rsid w:val="0025047A"/>
    <w:rsid w:val="0025120D"/>
    <w:rsid w:val="0025150A"/>
    <w:rsid w:val="00251FFD"/>
    <w:rsid w:val="002527FF"/>
    <w:rsid w:val="002534C3"/>
    <w:rsid w:val="00253BE3"/>
    <w:rsid w:val="00254B17"/>
    <w:rsid w:val="00255089"/>
    <w:rsid w:val="00255384"/>
    <w:rsid w:val="00256A1F"/>
    <w:rsid w:val="00257749"/>
    <w:rsid w:val="002577AE"/>
    <w:rsid w:val="00257AB9"/>
    <w:rsid w:val="002609C9"/>
    <w:rsid w:val="00260E4E"/>
    <w:rsid w:val="00260EA1"/>
    <w:rsid w:val="0026110F"/>
    <w:rsid w:val="002618D8"/>
    <w:rsid w:val="00261A0A"/>
    <w:rsid w:val="002620AB"/>
    <w:rsid w:val="00262327"/>
    <w:rsid w:val="00263402"/>
    <w:rsid w:val="0026394F"/>
    <w:rsid w:val="00263EF7"/>
    <w:rsid w:val="0026412A"/>
    <w:rsid w:val="002647D6"/>
    <w:rsid w:val="00264DA7"/>
    <w:rsid w:val="00265753"/>
    <w:rsid w:val="00265ED0"/>
    <w:rsid w:val="002660B6"/>
    <w:rsid w:val="00266E7B"/>
    <w:rsid w:val="0026709F"/>
    <w:rsid w:val="00267FA4"/>
    <w:rsid w:val="0027039F"/>
    <w:rsid w:val="00270947"/>
    <w:rsid w:val="00270D31"/>
    <w:rsid w:val="00270E0D"/>
    <w:rsid w:val="00271061"/>
    <w:rsid w:val="00271333"/>
    <w:rsid w:val="0027133B"/>
    <w:rsid w:val="00271EB6"/>
    <w:rsid w:val="002727CE"/>
    <w:rsid w:val="00272E82"/>
    <w:rsid w:val="00273046"/>
    <w:rsid w:val="00273158"/>
    <w:rsid w:val="002736E2"/>
    <w:rsid w:val="00273F6C"/>
    <w:rsid w:val="00274031"/>
    <w:rsid w:val="002743BF"/>
    <w:rsid w:val="00274EEE"/>
    <w:rsid w:val="0027555D"/>
    <w:rsid w:val="002759F4"/>
    <w:rsid w:val="002761BF"/>
    <w:rsid w:val="0027699D"/>
    <w:rsid w:val="00276C15"/>
    <w:rsid w:val="002771DE"/>
    <w:rsid w:val="002805ED"/>
    <w:rsid w:val="00281552"/>
    <w:rsid w:val="00281656"/>
    <w:rsid w:val="002819EA"/>
    <w:rsid w:val="00281AED"/>
    <w:rsid w:val="00281B71"/>
    <w:rsid w:val="00283325"/>
    <w:rsid w:val="00283582"/>
    <w:rsid w:val="0028381E"/>
    <w:rsid w:val="00283CD8"/>
    <w:rsid w:val="00284796"/>
    <w:rsid w:val="00284A93"/>
    <w:rsid w:val="00284EDC"/>
    <w:rsid w:val="0028501D"/>
    <w:rsid w:val="0028510E"/>
    <w:rsid w:val="00285907"/>
    <w:rsid w:val="00286173"/>
    <w:rsid w:val="00286254"/>
    <w:rsid w:val="0028628D"/>
    <w:rsid w:val="002865A1"/>
    <w:rsid w:val="002870E0"/>
    <w:rsid w:val="00287948"/>
    <w:rsid w:val="00287F4F"/>
    <w:rsid w:val="00290D81"/>
    <w:rsid w:val="00290D87"/>
    <w:rsid w:val="00291AD3"/>
    <w:rsid w:val="00291F05"/>
    <w:rsid w:val="00292196"/>
    <w:rsid w:val="002923EB"/>
    <w:rsid w:val="00293831"/>
    <w:rsid w:val="00293CB1"/>
    <w:rsid w:val="0029409C"/>
    <w:rsid w:val="002942B4"/>
    <w:rsid w:val="002946E6"/>
    <w:rsid w:val="002949C5"/>
    <w:rsid w:val="00294C6F"/>
    <w:rsid w:val="00294F39"/>
    <w:rsid w:val="00295328"/>
    <w:rsid w:val="00295D35"/>
    <w:rsid w:val="00295F2F"/>
    <w:rsid w:val="002968D7"/>
    <w:rsid w:val="00297E4A"/>
    <w:rsid w:val="002A036D"/>
    <w:rsid w:val="002A03B9"/>
    <w:rsid w:val="002A0412"/>
    <w:rsid w:val="002A0535"/>
    <w:rsid w:val="002A05C1"/>
    <w:rsid w:val="002A0746"/>
    <w:rsid w:val="002A0FB9"/>
    <w:rsid w:val="002A163A"/>
    <w:rsid w:val="002A1688"/>
    <w:rsid w:val="002A168E"/>
    <w:rsid w:val="002A1AF6"/>
    <w:rsid w:val="002A23AE"/>
    <w:rsid w:val="002A2DDE"/>
    <w:rsid w:val="002A3DA3"/>
    <w:rsid w:val="002A49DB"/>
    <w:rsid w:val="002A5421"/>
    <w:rsid w:val="002A5E14"/>
    <w:rsid w:val="002A6970"/>
    <w:rsid w:val="002A7022"/>
    <w:rsid w:val="002A71C9"/>
    <w:rsid w:val="002A775B"/>
    <w:rsid w:val="002A7784"/>
    <w:rsid w:val="002B0065"/>
    <w:rsid w:val="002B00E0"/>
    <w:rsid w:val="002B02D8"/>
    <w:rsid w:val="002B0390"/>
    <w:rsid w:val="002B088F"/>
    <w:rsid w:val="002B0B19"/>
    <w:rsid w:val="002B150D"/>
    <w:rsid w:val="002B177A"/>
    <w:rsid w:val="002B1938"/>
    <w:rsid w:val="002B1D60"/>
    <w:rsid w:val="002B20D8"/>
    <w:rsid w:val="002B2740"/>
    <w:rsid w:val="002B2BCD"/>
    <w:rsid w:val="002B34EA"/>
    <w:rsid w:val="002B3AC8"/>
    <w:rsid w:val="002B4265"/>
    <w:rsid w:val="002B4E1A"/>
    <w:rsid w:val="002B5040"/>
    <w:rsid w:val="002B532E"/>
    <w:rsid w:val="002B5662"/>
    <w:rsid w:val="002B5968"/>
    <w:rsid w:val="002B65C3"/>
    <w:rsid w:val="002B6F38"/>
    <w:rsid w:val="002B7CAF"/>
    <w:rsid w:val="002C0670"/>
    <w:rsid w:val="002C0F1D"/>
    <w:rsid w:val="002C17A0"/>
    <w:rsid w:val="002C1B22"/>
    <w:rsid w:val="002C1B90"/>
    <w:rsid w:val="002C2025"/>
    <w:rsid w:val="002C287C"/>
    <w:rsid w:val="002C2FAE"/>
    <w:rsid w:val="002C3219"/>
    <w:rsid w:val="002C370A"/>
    <w:rsid w:val="002C3F38"/>
    <w:rsid w:val="002C3FB5"/>
    <w:rsid w:val="002C42A9"/>
    <w:rsid w:val="002C45F2"/>
    <w:rsid w:val="002C7B55"/>
    <w:rsid w:val="002C7C6A"/>
    <w:rsid w:val="002C7CD0"/>
    <w:rsid w:val="002D00B0"/>
    <w:rsid w:val="002D036D"/>
    <w:rsid w:val="002D0531"/>
    <w:rsid w:val="002D05A6"/>
    <w:rsid w:val="002D06A9"/>
    <w:rsid w:val="002D1160"/>
    <w:rsid w:val="002D136A"/>
    <w:rsid w:val="002D1459"/>
    <w:rsid w:val="002D19FB"/>
    <w:rsid w:val="002D2006"/>
    <w:rsid w:val="002D2007"/>
    <w:rsid w:val="002D2826"/>
    <w:rsid w:val="002D2B8F"/>
    <w:rsid w:val="002D2D20"/>
    <w:rsid w:val="002D38F1"/>
    <w:rsid w:val="002D3A0E"/>
    <w:rsid w:val="002D3C49"/>
    <w:rsid w:val="002D49C5"/>
    <w:rsid w:val="002D5C42"/>
    <w:rsid w:val="002D5EBE"/>
    <w:rsid w:val="002D643D"/>
    <w:rsid w:val="002D74C6"/>
    <w:rsid w:val="002D754B"/>
    <w:rsid w:val="002D7B2E"/>
    <w:rsid w:val="002D7D50"/>
    <w:rsid w:val="002E042B"/>
    <w:rsid w:val="002E0C57"/>
    <w:rsid w:val="002E14A9"/>
    <w:rsid w:val="002E1833"/>
    <w:rsid w:val="002E19DE"/>
    <w:rsid w:val="002E1AC3"/>
    <w:rsid w:val="002E1C0D"/>
    <w:rsid w:val="002E1F0F"/>
    <w:rsid w:val="002E1F31"/>
    <w:rsid w:val="002E2AFE"/>
    <w:rsid w:val="002E3A34"/>
    <w:rsid w:val="002E3E26"/>
    <w:rsid w:val="002E4479"/>
    <w:rsid w:val="002E5576"/>
    <w:rsid w:val="002E5D15"/>
    <w:rsid w:val="002E5E45"/>
    <w:rsid w:val="002E60D7"/>
    <w:rsid w:val="002E6337"/>
    <w:rsid w:val="002E64F8"/>
    <w:rsid w:val="002E663B"/>
    <w:rsid w:val="002E6A32"/>
    <w:rsid w:val="002E6E60"/>
    <w:rsid w:val="002E6E95"/>
    <w:rsid w:val="002E7088"/>
    <w:rsid w:val="002E7205"/>
    <w:rsid w:val="002E7941"/>
    <w:rsid w:val="002E7B69"/>
    <w:rsid w:val="002E7D90"/>
    <w:rsid w:val="002F04B6"/>
    <w:rsid w:val="002F17C5"/>
    <w:rsid w:val="002F3796"/>
    <w:rsid w:val="002F3D46"/>
    <w:rsid w:val="002F3D7C"/>
    <w:rsid w:val="002F4710"/>
    <w:rsid w:val="002F5500"/>
    <w:rsid w:val="002F590A"/>
    <w:rsid w:val="002F5B56"/>
    <w:rsid w:val="002F685D"/>
    <w:rsid w:val="002F6C1C"/>
    <w:rsid w:val="002F727E"/>
    <w:rsid w:val="002F73E1"/>
    <w:rsid w:val="003001E5"/>
    <w:rsid w:val="003003EB"/>
    <w:rsid w:val="003007B6"/>
    <w:rsid w:val="003009DE"/>
    <w:rsid w:val="00301ACE"/>
    <w:rsid w:val="00301ADC"/>
    <w:rsid w:val="00302342"/>
    <w:rsid w:val="00302762"/>
    <w:rsid w:val="00302B86"/>
    <w:rsid w:val="00303255"/>
    <w:rsid w:val="003033FC"/>
    <w:rsid w:val="003038A4"/>
    <w:rsid w:val="003038F2"/>
    <w:rsid w:val="0030429D"/>
    <w:rsid w:val="0030580B"/>
    <w:rsid w:val="003059BB"/>
    <w:rsid w:val="00305CA3"/>
    <w:rsid w:val="003064C5"/>
    <w:rsid w:val="00306BEF"/>
    <w:rsid w:val="00307C01"/>
    <w:rsid w:val="00307E0C"/>
    <w:rsid w:val="003101CB"/>
    <w:rsid w:val="0031057F"/>
    <w:rsid w:val="0031155E"/>
    <w:rsid w:val="003123B3"/>
    <w:rsid w:val="0031283D"/>
    <w:rsid w:val="00312995"/>
    <w:rsid w:val="003139C9"/>
    <w:rsid w:val="00313A6B"/>
    <w:rsid w:val="00313AA2"/>
    <w:rsid w:val="00313CB3"/>
    <w:rsid w:val="003145D8"/>
    <w:rsid w:val="003148F7"/>
    <w:rsid w:val="00316114"/>
    <w:rsid w:val="0031676A"/>
    <w:rsid w:val="00316A15"/>
    <w:rsid w:val="00316D38"/>
    <w:rsid w:val="0031790B"/>
    <w:rsid w:val="00317FBF"/>
    <w:rsid w:val="00320094"/>
    <w:rsid w:val="00320202"/>
    <w:rsid w:val="00320CCE"/>
    <w:rsid w:val="00320FFA"/>
    <w:rsid w:val="00322146"/>
    <w:rsid w:val="003239E6"/>
    <w:rsid w:val="00324154"/>
    <w:rsid w:val="0032415B"/>
    <w:rsid w:val="00324E84"/>
    <w:rsid w:val="00325140"/>
    <w:rsid w:val="0032523B"/>
    <w:rsid w:val="003252EA"/>
    <w:rsid w:val="0032554F"/>
    <w:rsid w:val="003256DC"/>
    <w:rsid w:val="00326050"/>
    <w:rsid w:val="00326431"/>
    <w:rsid w:val="00327F8B"/>
    <w:rsid w:val="00330473"/>
    <w:rsid w:val="00330DCD"/>
    <w:rsid w:val="0033159B"/>
    <w:rsid w:val="00331C30"/>
    <w:rsid w:val="00331F9F"/>
    <w:rsid w:val="00332737"/>
    <w:rsid w:val="00333326"/>
    <w:rsid w:val="00333AA8"/>
    <w:rsid w:val="003340C8"/>
    <w:rsid w:val="00334477"/>
    <w:rsid w:val="00334597"/>
    <w:rsid w:val="003347D4"/>
    <w:rsid w:val="0033481A"/>
    <w:rsid w:val="00334F2D"/>
    <w:rsid w:val="00335155"/>
    <w:rsid w:val="00335560"/>
    <w:rsid w:val="00336730"/>
    <w:rsid w:val="003368D5"/>
    <w:rsid w:val="00336936"/>
    <w:rsid w:val="00336A58"/>
    <w:rsid w:val="00336E01"/>
    <w:rsid w:val="00337016"/>
    <w:rsid w:val="003371DA"/>
    <w:rsid w:val="00337DCB"/>
    <w:rsid w:val="00340897"/>
    <w:rsid w:val="00340AB9"/>
    <w:rsid w:val="00341583"/>
    <w:rsid w:val="00341A87"/>
    <w:rsid w:val="00342225"/>
    <w:rsid w:val="003424DC"/>
    <w:rsid w:val="003437B7"/>
    <w:rsid w:val="0034386F"/>
    <w:rsid w:val="00344EED"/>
    <w:rsid w:val="00345604"/>
    <w:rsid w:val="003458E5"/>
    <w:rsid w:val="00345A1F"/>
    <w:rsid w:val="00346014"/>
    <w:rsid w:val="003460AC"/>
    <w:rsid w:val="00346A4C"/>
    <w:rsid w:val="00346B73"/>
    <w:rsid w:val="00347D8D"/>
    <w:rsid w:val="00347F09"/>
    <w:rsid w:val="00350BD2"/>
    <w:rsid w:val="00350C3D"/>
    <w:rsid w:val="00350CC9"/>
    <w:rsid w:val="00351BF3"/>
    <w:rsid w:val="00352B9C"/>
    <w:rsid w:val="00353A1C"/>
    <w:rsid w:val="00354AB2"/>
    <w:rsid w:val="00355670"/>
    <w:rsid w:val="00355975"/>
    <w:rsid w:val="00356B7F"/>
    <w:rsid w:val="00356C63"/>
    <w:rsid w:val="00356E0A"/>
    <w:rsid w:val="00357573"/>
    <w:rsid w:val="003602A1"/>
    <w:rsid w:val="003603EB"/>
    <w:rsid w:val="00360A78"/>
    <w:rsid w:val="00360B6E"/>
    <w:rsid w:val="00361663"/>
    <w:rsid w:val="00362223"/>
    <w:rsid w:val="00362771"/>
    <w:rsid w:val="003628DC"/>
    <w:rsid w:val="00362A61"/>
    <w:rsid w:val="00362AE3"/>
    <w:rsid w:val="00362CEE"/>
    <w:rsid w:val="003632C0"/>
    <w:rsid w:val="0036348F"/>
    <w:rsid w:val="003634DE"/>
    <w:rsid w:val="00363501"/>
    <w:rsid w:val="00363BAE"/>
    <w:rsid w:val="00363D4A"/>
    <w:rsid w:val="00365395"/>
    <w:rsid w:val="003655EB"/>
    <w:rsid w:val="0036582E"/>
    <w:rsid w:val="003658D1"/>
    <w:rsid w:val="00365E24"/>
    <w:rsid w:val="00366096"/>
    <w:rsid w:val="003668A4"/>
    <w:rsid w:val="00366C98"/>
    <w:rsid w:val="00366F11"/>
    <w:rsid w:val="00367045"/>
    <w:rsid w:val="003676BB"/>
    <w:rsid w:val="00367DBE"/>
    <w:rsid w:val="0037034A"/>
    <w:rsid w:val="0037075E"/>
    <w:rsid w:val="003711FC"/>
    <w:rsid w:val="003714ED"/>
    <w:rsid w:val="0037208E"/>
    <w:rsid w:val="0037260D"/>
    <w:rsid w:val="003739F6"/>
    <w:rsid w:val="00374287"/>
    <w:rsid w:val="003749AD"/>
    <w:rsid w:val="00374BCF"/>
    <w:rsid w:val="00374F27"/>
    <w:rsid w:val="00375353"/>
    <w:rsid w:val="00375588"/>
    <w:rsid w:val="00375601"/>
    <w:rsid w:val="003756AF"/>
    <w:rsid w:val="00375D89"/>
    <w:rsid w:val="003767F4"/>
    <w:rsid w:val="003771E6"/>
    <w:rsid w:val="00377B45"/>
    <w:rsid w:val="00377EB7"/>
    <w:rsid w:val="00380549"/>
    <w:rsid w:val="00380C30"/>
    <w:rsid w:val="003810FF"/>
    <w:rsid w:val="003811B1"/>
    <w:rsid w:val="003816A0"/>
    <w:rsid w:val="00382185"/>
    <w:rsid w:val="003825D4"/>
    <w:rsid w:val="003825E1"/>
    <w:rsid w:val="00382643"/>
    <w:rsid w:val="00382E2E"/>
    <w:rsid w:val="00384CFE"/>
    <w:rsid w:val="00385000"/>
    <w:rsid w:val="00385DB6"/>
    <w:rsid w:val="0038678A"/>
    <w:rsid w:val="0039019F"/>
    <w:rsid w:val="0039063F"/>
    <w:rsid w:val="00390C5A"/>
    <w:rsid w:val="003914BE"/>
    <w:rsid w:val="00391831"/>
    <w:rsid w:val="00391994"/>
    <w:rsid w:val="00392957"/>
    <w:rsid w:val="00393E8F"/>
    <w:rsid w:val="003940C1"/>
    <w:rsid w:val="0039417C"/>
    <w:rsid w:val="0039425E"/>
    <w:rsid w:val="003945E5"/>
    <w:rsid w:val="00394997"/>
    <w:rsid w:val="00395147"/>
    <w:rsid w:val="003952A2"/>
    <w:rsid w:val="003954E6"/>
    <w:rsid w:val="00395569"/>
    <w:rsid w:val="00395694"/>
    <w:rsid w:val="00395C7B"/>
    <w:rsid w:val="00396FE2"/>
    <w:rsid w:val="00397352"/>
    <w:rsid w:val="0039738A"/>
    <w:rsid w:val="00397666"/>
    <w:rsid w:val="003A07B4"/>
    <w:rsid w:val="003A1195"/>
    <w:rsid w:val="003A1740"/>
    <w:rsid w:val="003A1794"/>
    <w:rsid w:val="003A2143"/>
    <w:rsid w:val="003A223E"/>
    <w:rsid w:val="003A25D5"/>
    <w:rsid w:val="003A2B22"/>
    <w:rsid w:val="003A316B"/>
    <w:rsid w:val="003A3B51"/>
    <w:rsid w:val="003A4418"/>
    <w:rsid w:val="003A4E24"/>
    <w:rsid w:val="003A5158"/>
    <w:rsid w:val="003A5576"/>
    <w:rsid w:val="003A5818"/>
    <w:rsid w:val="003A5AF3"/>
    <w:rsid w:val="003A5ED2"/>
    <w:rsid w:val="003A6D92"/>
    <w:rsid w:val="003A7357"/>
    <w:rsid w:val="003A74C0"/>
    <w:rsid w:val="003A775E"/>
    <w:rsid w:val="003B07C8"/>
    <w:rsid w:val="003B0C70"/>
    <w:rsid w:val="003B13EE"/>
    <w:rsid w:val="003B177C"/>
    <w:rsid w:val="003B1992"/>
    <w:rsid w:val="003B25C0"/>
    <w:rsid w:val="003B265C"/>
    <w:rsid w:val="003B2AAD"/>
    <w:rsid w:val="003B2D45"/>
    <w:rsid w:val="003B3592"/>
    <w:rsid w:val="003B59F3"/>
    <w:rsid w:val="003B5B2A"/>
    <w:rsid w:val="003B5DA5"/>
    <w:rsid w:val="003B6300"/>
    <w:rsid w:val="003B6602"/>
    <w:rsid w:val="003B6A71"/>
    <w:rsid w:val="003B6F13"/>
    <w:rsid w:val="003B7464"/>
    <w:rsid w:val="003B7526"/>
    <w:rsid w:val="003B765E"/>
    <w:rsid w:val="003B7843"/>
    <w:rsid w:val="003B7D96"/>
    <w:rsid w:val="003C0311"/>
    <w:rsid w:val="003C08C6"/>
    <w:rsid w:val="003C0BA2"/>
    <w:rsid w:val="003C0E7B"/>
    <w:rsid w:val="003C1633"/>
    <w:rsid w:val="003C1734"/>
    <w:rsid w:val="003C1764"/>
    <w:rsid w:val="003C1BA0"/>
    <w:rsid w:val="003C1EEC"/>
    <w:rsid w:val="003C24AD"/>
    <w:rsid w:val="003C262B"/>
    <w:rsid w:val="003C399C"/>
    <w:rsid w:val="003C3AE6"/>
    <w:rsid w:val="003C55D7"/>
    <w:rsid w:val="003C64B6"/>
    <w:rsid w:val="003C712A"/>
    <w:rsid w:val="003D006D"/>
    <w:rsid w:val="003D0ED3"/>
    <w:rsid w:val="003D14B2"/>
    <w:rsid w:val="003D1B61"/>
    <w:rsid w:val="003D1B65"/>
    <w:rsid w:val="003D2FAA"/>
    <w:rsid w:val="003D33E4"/>
    <w:rsid w:val="003D361B"/>
    <w:rsid w:val="003D3743"/>
    <w:rsid w:val="003D3A24"/>
    <w:rsid w:val="003D48D3"/>
    <w:rsid w:val="003D4C23"/>
    <w:rsid w:val="003D56EE"/>
    <w:rsid w:val="003D5711"/>
    <w:rsid w:val="003D5992"/>
    <w:rsid w:val="003D5D95"/>
    <w:rsid w:val="003D5EAE"/>
    <w:rsid w:val="003D64A0"/>
    <w:rsid w:val="003D6B88"/>
    <w:rsid w:val="003D72E4"/>
    <w:rsid w:val="003D77B2"/>
    <w:rsid w:val="003D7B36"/>
    <w:rsid w:val="003D7C97"/>
    <w:rsid w:val="003D7DC4"/>
    <w:rsid w:val="003E215E"/>
    <w:rsid w:val="003E2176"/>
    <w:rsid w:val="003E256F"/>
    <w:rsid w:val="003E2A06"/>
    <w:rsid w:val="003E3336"/>
    <w:rsid w:val="003E3A24"/>
    <w:rsid w:val="003E4051"/>
    <w:rsid w:val="003E4456"/>
    <w:rsid w:val="003E5878"/>
    <w:rsid w:val="003E5BAB"/>
    <w:rsid w:val="003E5DA8"/>
    <w:rsid w:val="003E65EB"/>
    <w:rsid w:val="003E6BC1"/>
    <w:rsid w:val="003E708E"/>
    <w:rsid w:val="003E73CD"/>
    <w:rsid w:val="003E752F"/>
    <w:rsid w:val="003E782B"/>
    <w:rsid w:val="003E7E8F"/>
    <w:rsid w:val="003F03A4"/>
    <w:rsid w:val="003F057B"/>
    <w:rsid w:val="003F076D"/>
    <w:rsid w:val="003F0924"/>
    <w:rsid w:val="003F0CB1"/>
    <w:rsid w:val="003F0E10"/>
    <w:rsid w:val="003F12C1"/>
    <w:rsid w:val="003F16F1"/>
    <w:rsid w:val="003F1A23"/>
    <w:rsid w:val="003F21A1"/>
    <w:rsid w:val="003F23CE"/>
    <w:rsid w:val="003F2F15"/>
    <w:rsid w:val="003F3163"/>
    <w:rsid w:val="003F31FB"/>
    <w:rsid w:val="003F3FA4"/>
    <w:rsid w:val="003F528D"/>
    <w:rsid w:val="003F53E0"/>
    <w:rsid w:val="003F5EEF"/>
    <w:rsid w:val="003F670E"/>
    <w:rsid w:val="003F6A63"/>
    <w:rsid w:val="003F6F43"/>
    <w:rsid w:val="003F7053"/>
    <w:rsid w:val="003F76F8"/>
    <w:rsid w:val="003F7F0A"/>
    <w:rsid w:val="00400290"/>
    <w:rsid w:val="00400899"/>
    <w:rsid w:val="00400D50"/>
    <w:rsid w:val="00400E19"/>
    <w:rsid w:val="00400FB5"/>
    <w:rsid w:val="004015FD"/>
    <w:rsid w:val="004018D8"/>
    <w:rsid w:val="0040289E"/>
    <w:rsid w:val="00403173"/>
    <w:rsid w:val="00403B85"/>
    <w:rsid w:val="00403D70"/>
    <w:rsid w:val="004043E9"/>
    <w:rsid w:val="004046C6"/>
    <w:rsid w:val="004046DF"/>
    <w:rsid w:val="0040487E"/>
    <w:rsid w:val="00404D92"/>
    <w:rsid w:val="00405001"/>
    <w:rsid w:val="004052BA"/>
    <w:rsid w:val="0040564E"/>
    <w:rsid w:val="00405CD2"/>
    <w:rsid w:val="004068D2"/>
    <w:rsid w:val="00406A72"/>
    <w:rsid w:val="00406EEE"/>
    <w:rsid w:val="004071B5"/>
    <w:rsid w:val="004077C6"/>
    <w:rsid w:val="0040788F"/>
    <w:rsid w:val="004078F3"/>
    <w:rsid w:val="00407EF7"/>
    <w:rsid w:val="00410E9D"/>
    <w:rsid w:val="00411117"/>
    <w:rsid w:val="0041119E"/>
    <w:rsid w:val="004113B9"/>
    <w:rsid w:val="00412111"/>
    <w:rsid w:val="00412FDB"/>
    <w:rsid w:val="0041367A"/>
    <w:rsid w:val="00414D43"/>
    <w:rsid w:val="00415FF9"/>
    <w:rsid w:val="0041651E"/>
    <w:rsid w:val="00416A26"/>
    <w:rsid w:val="00416DA5"/>
    <w:rsid w:val="00416FEA"/>
    <w:rsid w:val="004172EC"/>
    <w:rsid w:val="00417A46"/>
    <w:rsid w:val="0042035A"/>
    <w:rsid w:val="00420599"/>
    <w:rsid w:val="004205C8"/>
    <w:rsid w:val="00420EF7"/>
    <w:rsid w:val="00421649"/>
    <w:rsid w:val="00422604"/>
    <w:rsid w:val="0042293C"/>
    <w:rsid w:val="004240BA"/>
    <w:rsid w:val="00424416"/>
    <w:rsid w:val="00424BE3"/>
    <w:rsid w:val="00424FE1"/>
    <w:rsid w:val="004259B9"/>
    <w:rsid w:val="00425CD6"/>
    <w:rsid w:val="00426851"/>
    <w:rsid w:val="00426C39"/>
    <w:rsid w:val="00426D1B"/>
    <w:rsid w:val="00426FF5"/>
    <w:rsid w:val="004275B1"/>
    <w:rsid w:val="004275E8"/>
    <w:rsid w:val="004279AB"/>
    <w:rsid w:val="00427A54"/>
    <w:rsid w:val="00427FD5"/>
    <w:rsid w:val="0043037D"/>
    <w:rsid w:val="00430CF2"/>
    <w:rsid w:val="00431074"/>
    <w:rsid w:val="004316F8"/>
    <w:rsid w:val="00431933"/>
    <w:rsid w:val="00431F7E"/>
    <w:rsid w:val="0043213A"/>
    <w:rsid w:val="00432C86"/>
    <w:rsid w:val="00433417"/>
    <w:rsid w:val="00433689"/>
    <w:rsid w:val="00433C00"/>
    <w:rsid w:val="004347CE"/>
    <w:rsid w:val="0043517C"/>
    <w:rsid w:val="004354F0"/>
    <w:rsid w:val="004359CB"/>
    <w:rsid w:val="004359E0"/>
    <w:rsid w:val="00435B6F"/>
    <w:rsid w:val="00435BBC"/>
    <w:rsid w:val="00436A20"/>
    <w:rsid w:val="00437B56"/>
    <w:rsid w:val="004401F8"/>
    <w:rsid w:val="00440817"/>
    <w:rsid w:val="00441814"/>
    <w:rsid w:val="0044183D"/>
    <w:rsid w:val="004420C6"/>
    <w:rsid w:val="00444593"/>
    <w:rsid w:val="0044474A"/>
    <w:rsid w:val="00444E25"/>
    <w:rsid w:val="00445CD8"/>
    <w:rsid w:val="00445D2E"/>
    <w:rsid w:val="00445E6E"/>
    <w:rsid w:val="0044604A"/>
    <w:rsid w:val="004468CB"/>
    <w:rsid w:val="00446B15"/>
    <w:rsid w:val="0044701C"/>
    <w:rsid w:val="004475C4"/>
    <w:rsid w:val="0044761E"/>
    <w:rsid w:val="004476FA"/>
    <w:rsid w:val="00447C52"/>
    <w:rsid w:val="00447E57"/>
    <w:rsid w:val="00450914"/>
    <w:rsid w:val="00450DCC"/>
    <w:rsid w:val="00450E0F"/>
    <w:rsid w:val="00450EBE"/>
    <w:rsid w:val="00451935"/>
    <w:rsid w:val="00451F9F"/>
    <w:rsid w:val="00452048"/>
    <w:rsid w:val="00452075"/>
    <w:rsid w:val="00452980"/>
    <w:rsid w:val="00452DD5"/>
    <w:rsid w:val="004535ED"/>
    <w:rsid w:val="00453A41"/>
    <w:rsid w:val="00453C72"/>
    <w:rsid w:val="00454286"/>
    <w:rsid w:val="00454628"/>
    <w:rsid w:val="00454990"/>
    <w:rsid w:val="00454E07"/>
    <w:rsid w:val="004551A5"/>
    <w:rsid w:val="00456903"/>
    <w:rsid w:val="0045694F"/>
    <w:rsid w:val="00456E9D"/>
    <w:rsid w:val="00456F0B"/>
    <w:rsid w:val="00457F1F"/>
    <w:rsid w:val="004600AB"/>
    <w:rsid w:val="004603A7"/>
    <w:rsid w:val="00460414"/>
    <w:rsid w:val="00461970"/>
    <w:rsid w:val="00461C80"/>
    <w:rsid w:val="004627A4"/>
    <w:rsid w:val="00462B80"/>
    <w:rsid w:val="00463272"/>
    <w:rsid w:val="004638A3"/>
    <w:rsid w:val="00463AD5"/>
    <w:rsid w:val="00464829"/>
    <w:rsid w:val="0046523E"/>
    <w:rsid w:val="0046554F"/>
    <w:rsid w:val="0046569B"/>
    <w:rsid w:val="00465728"/>
    <w:rsid w:val="00465B81"/>
    <w:rsid w:val="00471501"/>
    <w:rsid w:val="00471D36"/>
    <w:rsid w:val="004721A9"/>
    <w:rsid w:val="00472214"/>
    <w:rsid w:val="00472E6C"/>
    <w:rsid w:val="00473253"/>
    <w:rsid w:val="004736F4"/>
    <w:rsid w:val="004739E1"/>
    <w:rsid w:val="00474824"/>
    <w:rsid w:val="00474ACC"/>
    <w:rsid w:val="00474DE9"/>
    <w:rsid w:val="004757D3"/>
    <w:rsid w:val="00475996"/>
    <w:rsid w:val="00476E44"/>
    <w:rsid w:val="00476E5F"/>
    <w:rsid w:val="00476F38"/>
    <w:rsid w:val="00477A4B"/>
    <w:rsid w:val="00477C15"/>
    <w:rsid w:val="00480032"/>
    <w:rsid w:val="00480947"/>
    <w:rsid w:val="00480A81"/>
    <w:rsid w:val="0048185E"/>
    <w:rsid w:val="004824DD"/>
    <w:rsid w:val="00482BC9"/>
    <w:rsid w:val="0048322F"/>
    <w:rsid w:val="00483904"/>
    <w:rsid w:val="00483DA0"/>
    <w:rsid w:val="00484821"/>
    <w:rsid w:val="00484B81"/>
    <w:rsid w:val="00484EE7"/>
    <w:rsid w:val="004850E2"/>
    <w:rsid w:val="0048535D"/>
    <w:rsid w:val="0048543F"/>
    <w:rsid w:val="00486096"/>
    <w:rsid w:val="00486235"/>
    <w:rsid w:val="00486330"/>
    <w:rsid w:val="00486F07"/>
    <w:rsid w:val="00487883"/>
    <w:rsid w:val="00487AEC"/>
    <w:rsid w:val="004903F0"/>
    <w:rsid w:val="004908D5"/>
    <w:rsid w:val="00490929"/>
    <w:rsid w:val="00490A2A"/>
    <w:rsid w:val="00490D28"/>
    <w:rsid w:val="00491198"/>
    <w:rsid w:val="004914E2"/>
    <w:rsid w:val="00491CEB"/>
    <w:rsid w:val="00492023"/>
    <w:rsid w:val="0049264B"/>
    <w:rsid w:val="00493BFA"/>
    <w:rsid w:val="004945C0"/>
    <w:rsid w:val="004946FE"/>
    <w:rsid w:val="00494913"/>
    <w:rsid w:val="00495088"/>
    <w:rsid w:val="0049635E"/>
    <w:rsid w:val="00497A3B"/>
    <w:rsid w:val="00497A6D"/>
    <w:rsid w:val="004A0040"/>
    <w:rsid w:val="004A0B62"/>
    <w:rsid w:val="004A0E0C"/>
    <w:rsid w:val="004A105A"/>
    <w:rsid w:val="004A1312"/>
    <w:rsid w:val="004A1A3D"/>
    <w:rsid w:val="004A1A71"/>
    <w:rsid w:val="004A20B5"/>
    <w:rsid w:val="004A2413"/>
    <w:rsid w:val="004A2649"/>
    <w:rsid w:val="004A2CC1"/>
    <w:rsid w:val="004A3292"/>
    <w:rsid w:val="004A379E"/>
    <w:rsid w:val="004A3BC4"/>
    <w:rsid w:val="004A468C"/>
    <w:rsid w:val="004A47E7"/>
    <w:rsid w:val="004A4F4D"/>
    <w:rsid w:val="004A53FD"/>
    <w:rsid w:val="004A5455"/>
    <w:rsid w:val="004A58FC"/>
    <w:rsid w:val="004A5B45"/>
    <w:rsid w:val="004A63E7"/>
    <w:rsid w:val="004A7063"/>
    <w:rsid w:val="004A7CE2"/>
    <w:rsid w:val="004B0AB6"/>
    <w:rsid w:val="004B0B89"/>
    <w:rsid w:val="004B107E"/>
    <w:rsid w:val="004B12A1"/>
    <w:rsid w:val="004B19F6"/>
    <w:rsid w:val="004B21E4"/>
    <w:rsid w:val="004B330E"/>
    <w:rsid w:val="004B3BD9"/>
    <w:rsid w:val="004B3F96"/>
    <w:rsid w:val="004B40D5"/>
    <w:rsid w:val="004B42C6"/>
    <w:rsid w:val="004B487A"/>
    <w:rsid w:val="004B4CF2"/>
    <w:rsid w:val="004B4E54"/>
    <w:rsid w:val="004B4EDD"/>
    <w:rsid w:val="004B4F3A"/>
    <w:rsid w:val="004B506A"/>
    <w:rsid w:val="004B54C8"/>
    <w:rsid w:val="004B6152"/>
    <w:rsid w:val="004B6A8B"/>
    <w:rsid w:val="004B79C2"/>
    <w:rsid w:val="004B7B3D"/>
    <w:rsid w:val="004B7DE2"/>
    <w:rsid w:val="004C096F"/>
    <w:rsid w:val="004C0E9A"/>
    <w:rsid w:val="004C1BB4"/>
    <w:rsid w:val="004C23FB"/>
    <w:rsid w:val="004C2A30"/>
    <w:rsid w:val="004C2D50"/>
    <w:rsid w:val="004C2F8B"/>
    <w:rsid w:val="004C318E"/>
    <w:rsid w:val="004C3342"/>
    <w:rsid w:val="004C3861"/>
    <w:rsid w:val="004C3FDA"/>
    <w:rsid w:val="004C423D"/>
    <w:rsid w:val="004C45F2"/>
    <w:rsid w:val="004C549F"/>
    <w:rsid w:val="004C564C"/>
    <w:rsid w:val="004C5982"/>
    <w:rsid w:val="004C6063"/>
    <w:rsid w:val="004C6857"/>
    <w:rsid w:val="004C7F12"/>
    <w:rsid w:val="004D05F3"/>
    <w:rsid w:val="004D06CF"/>
    <w:rsid w:val="004D0A48"/>
    <w:rsid w:val="004D0ADE"/>
    <w:rsid w:val="004D1838"/>
    <w:rsid w:val="004D1EB5"/>
    <w:rsid w:val="004D21F1"/>
    <w:rsid w:val="004D339B"/>
    <w:rsid w:val="004D4679"/>
    <w:rsid w:val="004D56DA"/>
    <w:rsid w:val="004D5706"/>
    <w:rsid w:val="004D5BE8"/>
    <w:rsid w:val="004D5C97"/>
    <w:rsid w:val="004D6063"/>
    <w:rsid w:val="004D6144"/>
    <w:rsid w:val="004D61F1"/>
    <w:rsid w:val="004D6ABC"/>
    <w:rsid w:val="004D6E7D"/>
    <w:rsid w:val="004D7374"/>
    <w:rsid w:val="004D78E1"/>
    <w:rsid w:val="004D7A33"/>
    <w:rsid w:val="004D7B92"/>
    <w:rsid w:val="004D7E1B"/>
    <w:rsid w:val="004E00A8"/>
    <w:rsid w:val="004E04EB"/>
    <w:rsid w:val="004E0541"/>
    <w:rsid w:val="004E0581"/>
    <w:rsid w:val="004E0705"/>
    <w:rsid w:val="004E10B4"/>
    <w:rsid w:val="004E13FF"/>
    <w:rsid w:val="004E15C1"/>
    <w:rsid w:val="004E1D12"/>
    <w:rsid w:val="004E1DB3"/>
    <w:rsid w:val="004E2941"/>
    <w:rsid w:val="004E2E89"/>
    <w:rsid w:val="004E30AE"/>
    <w:rsid w:val="004E3222"/>
    <w:rsid w:val="004E328E"/>
    <w:rsid w:val="004E36DA"/>
    <w:rsid w:val="004E5B14"/>
    <w:rsid w:val="004E5C77"/>
    <w:rsid w:val="004E5F92"/>
    <w:rsid w:val="004E62C3"/>
    <w:rsid w:val="004E6363"/>
    <w:rsid w:val="004E6815"/>
    <w:rsid w:val="004E6AA6"/>
    <w:rsid w:val="004E7081"/>
    <w:rsid w:val="004F04F5"/>
    <w:rsid w:val="004F0863"/>
    <w:rsid w:val="004F11A0"/>
    <w:rsid w:val="004F1A81"/>
    <w:rsid w:val="004F1BEA"/>
    <w:rsid w:val="004F26B8"/>
    <w:rsid w:val="004F2797"/>
    <w:rsid w:val="004F29CC"/>
    <w:rsid w:val="004F2ABA"/>
    <w:rsid w:val="004F3501"/>
    <w:rsid w:val="004F3ED1"/>
    <w:rsid w:val="004F479A"/>
    <w:rsid w:val="004F4CF3"/>
    <w:rsid w:val="004F521E"/>
    <w:rsid w:val="004F6313"/>
    <w:rsid w:val="005001AE"/>
    <w:rsid w:val="00500634"/>
    <w:rsid w:val="005010B6"/>
    <w:rsid w:val="00501309"/>
    <w:rsid w:val="0050133E"/>
    <w:rsid w:val="00502C1B"/>
    <w:rsid w:val="00502C32"/>
    <w:rsid w:val="00503690"/>
    <w:rsid w:val="00503DD6"/>
    <w:rsid w:val="005043E9"/>
    <w:rsid w:val="00505B46"/>
    <w:rsid w:val="00505BAE"/>
    <w:rsid w:val="00505FD0"/>
    <w:rsid w:val="00506091"/>
    <w:rsid w:val="005071DF"/>
    <w:rsid w:val="00507543"/>
    <w:rsid w:val="00510500"/>
    <w:rsid w:val="00510587"/>
    <w:rsid w:val="00510A7F"/>
    <w:rsid w:val="00510B35"/>
    <w:rsid w:val="005117F1"/>
    <w:rsid w:val="005123F5"/>
    <w:rsid w:val="00512C72"/>
    <w:rsid w:val="00513EB7"/>
    <w:rsid w:val="005140D1"/>
    <w:rsid w:val="005145E9"/>
    <w:rsid w:val="005154AB"/>
    <w:rsid w:val="00515FA5"/>
    <w:rsid w:val="0051684D"/>
    <w:rsid w:val="00517251"/>
    <w:rsid w:val="005174FE"/>
    <w:rsid w:val="00517727"/>
    <w:rsid w:val="005178B4"/>
    <w:rsid w:val="00517A92"/>
    <w:rsid w:val="00520DBA"/>
    <w:rsid w:val="00520ECA"/>
    <w:rsid w:val="00521814"/>
    <w:rsid w:val="0052211B"/>
    <w:rsid w:val="00522FE9"/>
    <w:rsid w:val="0052486C"/>
    <w:rsid w:val="0052489E"/>
    <w:rsid w:val="00524FD8"/>
    <w:rsid w:val="005252E9"/>
    <w:rsid w:val="0052595E"/>
    <w:rsid w:val="00525CA3"/>
    <w:rsid w:val="00526224"/>
    <w:rsid w:val="0052639F"/>
    <w:rsid w:val="00526D5A"/>
    <w:rsid w:val="00526E0B"/>
    <w:rsid w:val="005278C2"/>
    <w:rsid w:val="00527A14"/>
    <w:rsid w:val="00530054"/>
    <w:rsid w:val="00530210"/>
    <w:rsid w:val="0053159B"/>
    <w:rsid w:val="00531AF2"/>
    <w:rsid w:val="00531D53"/>
    <w:rsid w:val="00532759"/>
    <w:rsid w:val="00533176"/>
    <w:rsid w:val="005335D5"/>
    <w:rsid w:val="005336D8"/>
    <w:rsid w:val="00533861"/>
    <w:rsid w:val="00534175"/>
    <w:rsid w:val="005349FF"/>
    <w:rsid w:val="00534C8F"/>
    <w:rsid w:val="005350F3"/>
    <w:rsid w:val="0053558E"/>
    <w:rsid w:val="00535767"/>
    <w:rsid w:val="005368E3"/>
    <w:rsid w:val="00536B4E"/>
    <w:rsid w:val="0053703B"/>
    <w:rsid w:val="005370B2"/>
    <w:rsid w:val="0053770B"/>
    <w:rsid w:val="00537DA8"/>
    <w:rsid w:val="00537FB3"/>
    <w:rsid w:val="00540207"/>
    <w:rsid w:val="005409DE"/>
    <w:rsid w:val="005411C7"/>
    <w:rsid w:val="005412E4"/>
    <w:rsid w:val="00542B0E"/>
    <w:rsid w:val="00542D73"/>
    <w:rsid w:val="00543903"/>
    <w:rsid w:val="00543B07"/>
    <w:rsid w:val="00543E00"/>
    <w:rsid w:val="00543F62"/>
    <w:rsid w:val="00543FA6"/>
    <w:rsid w:val="005443D1"/>
    <w:rsid w:val="005444EE"/>
    <w:rsid w:val="00544709"/>
    <w:rsid w:val="00545A64"/>
    <w:rsid w:val="005464F9"/>
    <w:rsid w:val="005468C3"/>
    <w:rsid w:val="005475D8"/>
    <w:rsid w:val="0055030B"/>
    <w:rsid w:val="00550B35"/>
    <w:rsid w:val="00550EDA"/>
    <w:rsid w:val="00550F56"/>
    <w:rsid w:val="005510FE"/>
    <w:rsid w:val="00551459"/>
    <w:rsid w:val="005514C3"/>
    <w:rsid w:val="005515D9"/>
    <w:rsid w:val="00552CF8"/>
    <w:rsid w:val="00553F03"/>
    <w:rsid w:val="00554314"/>
    <w:rsid w:val="00554823"/>
    <w:rsid w:val="00554A60"/>
    <w:rsid w:val="0055561C"/>
    <w:rsid w:val="0055583F"/>
    <w:rsid w:val="00555A04"/>
    <w:rsid w:val="00556E21"/>
    <w:rsid w:val="0055733E"/>
    <w:rsid w:val="0056012F"/>
    <w:rsid w:val="00560688"/>
    <w:rsid w:val="00560E3D"/>
    <w:rsid w:val="005613F6"/>
    <w:rsid w:val="0056155D"/>
    <w:rsid w:val="00561A33"/>
    <w:rsid w:val="00562141"/>
    <w:rsid w:val="005624BD"/>
    <w:rsid w:val="00562581"/>
    <w:rsid w:val="005625E3"/>
    <w:rsid w:val="005634B8"/>
    <w:rsid w:val="00564677"/>
    <w:rsid w:val="00564D66"/>
    <w:rsid w:val="00565023"/>
    <w:rsid w:val="0056572F"/>
    <w:rsid w:val="00565A18"/>
    <w:rsid w:val="00566DB6"/>
    <w:rsid w:val="005675F2"/>
    <w:rsid w:val="00571275"/>
    <w:rsid w:val="005712BB"/>
    <w:rsid w:val="005717D0"/>
    <w:rsid w:val="005717F4"/>
    <w:rsid w:val="00571DB8"/>
    <w:rsid w:val="00572AF9"/>
    <w:rsid w:val="00572B5C"/>
    <w:rsid w:val="00573330"/>
    <w:rsid w:val="00573B72"/>
    <w:rsid w:val="00573C53"/>
    <w:rsid w:val="005742A6"/>
    <w:rsid w:val="0057491D"/>
    <w:rsid w:val="00574A29"/>
    <w:rsid w:val="00574B42"/>
    <w:rsid w:val="00574CAE"/>
    <w:rsid w:val="00574D70"/>
    <w:rsid w:val="00574E4E"/>
    <w:rsid w:val="00575240"/>
    <w:rsid w:val="00575B56"/>
    <w:rsid w:val="00575F6B"/>
    <w:rsid w:val="0057672C"/>
    <w:rsid w:val="00577FA9"/>
    <w:rsid w:val="005811D4"/>
    <w:rsid w:val="00581BC4"/>
    <w:rsid w:val="00582188"/>
    <w:rsid w:val="00582474"/>
    <w:rsid w:val="00582E89"/>
    <w:rsid w:val="00582EA9"/>
    <w:rsid w:val="0058301F"/>
    <w:rsid w:val="0058321A"/>
    <w:rsid w:val="00583609"/>
    <w:rsid w:val="00583A50"/>
    <w:rsid w:val="00583A95"/>
    <w:rsid w:val="00583B2D"/>
    <w:rsid w:val="00585B90"/>
    <w:rsid w:val="005862BA"/>
    <w:rsid w:val="00586353"/>
    <w:rsid w:val="00586719"/>
    <w:rsid w:val="005868C8"/>
    <w:rsid w:val="00586E99"/>
    <w:rsid w:val="00587310"/>
    <w:rsid w:val="00587449"/>
    <w:rsid w:val="005879C8"/>
    <w:rsid w:val="00587A2B"/>
    <w:rsid w:val="00587C43"/>
    <w:rsid w:val="005909E6"/>
    <w:rsid w:val="0059171D"/>
    <w:rsid w:val="00591909"/>
    <w:rsid w:val="00591E7F"/>
    <w:rsid w:val="00592923"/>
    <w:rsid w:val="00592943"/>
    <w:rsid w:val="00592B6E"/>
    <w:rsid w:val="00592DD8"/>
    <w:rsid w:val="005939A3"/>
    <w:rsid w:val="00593DBA"/>
    <w:rsid w:val="00593DE8"/>
    <w:rsid w:val="00593EC2"/>
    <w:rsid w:val="00594872"/>
    <w:rsid w:val="0059487C"/>
    <w:rsid w:val="00594AB0"/>
    <w:rsid w:val="00594D79"/>
    <w:rsid w:val="00595411"/>
    <w:rsid w:val="005956D6"/>
    <w:rsid w:val="005957BE"/>
    <w:rsid w:val="00595D2C"/>
    <w:rsid w:val="0059649D"/>
    <w:rsid w:val="00596DE8"/>
    <w:rsid w:val="00597A2B"/>
    <w:rsid w:val="005A0117"/>
    <w:rsid w:val="005A072B"/>
    <w:rsid w:val="005A127E"/>
    <w:rsid w:val="005A1441"/>
    <w:rsid w:val="005A1754"/>
    <w:rsid w:val="005A17CE"/>
    <w:rsid w:val="005A1BA9"/>
    <w:rsid w:val="005A1C47"/>
    <w:rsid w:val="005A1F9E"/>
    <w:rsid w:val="005A3200"/>
    <w:rsid w:val="005A358D"/>
    <w:rsid w:val="005A3761"/>
    <w:rsid w:val="005A3F8C"/>
    <w:rsid w:val="005A4368"/>
    <w:rsid w:val="005A4603"/>
    <w:rsid w:val="005A48FF"/>
    <w:rsid w:val="005A4F35"/>
    <w:rsid w:val="005A5119"/>
    <w:rsid w:val="005A5BD1"/>
    <w:rsid w:val="005A5D9B"/>
    <w:rsid w:val="005A6F20"/>
    <w:rsid w:val="005B097B"/>
    <w:rsid w:val="005B0D5C"/>
    <w:rsid w:val="005B1383"/>
    <w:rsid w:val="005B1893"/>
    <w:rsid w:val="005B1DF9"/>
    <w:rsid w:val="005B2958"/>
    <w:rsid w:val="005B29B8"/>
    <w:rsid w:val="005B3562"/>
    <w:rsid w:val="005B3F6E"/>
    <w:rsid w:val="005B4188"/>
    <w:rsid w:val="005B529C"/>
    <w:rsid w:val="005B537D"/>
    <w:rsid w:val="005B5F01"/>
    <w:rsid w:val="005B64F0"/>
    <w:rsid w:val="005B6811"/>
    <w:rsid w:val="005B68C0"/>
    <w:rsid w:val="005B69CD"/>
    <w:rsid w:val="005B6C7F"/>
    <w:rsid w:val="005B7728"/>
    <w:rsid w:val="005B7740"/>
    <w:rsid w:val="005B79E1"/>
    <w:rsid w:val="005B7DC0"/>
    <w:rsid w:val="005B7DFA"/>
    <w:rsid w:val="005C0D35"/>
    <w:rsid w:val="005C0EC0"/>
    <w:rsid w:val="005C117D"/>
    <w:rsid w:val="005C2019"/>
    <w:rsid w:val="005C23F9"/>
    <w:rsid w:val="005C38C8"/>
    <w:rsid w:val="005C411D"/>
    <w:rsid w:val="005C474F"/>
    <w:rsid w:val="005C6035"/>
    <w:rsid w:val="005C64BB"/>
    <w:rsid w:val="005C68EF"/>
    <w:rsid w:val="005C6B6E"/>
    <w:rsid w:val="005C6E92"/>
    <w:rsid w:val="005C6EA8"/>
    <w:rsid w:val="005C7025"/>
    <w:rsid w:val="005C771A"/>
    <w:rsid w:val="005C7867"/>
    <w:rsid w:val="005D08A4"/>
    <w:rsid w:val="005D103F"/>
    <w:rsid w:val="005D2971"/>
    <w:rsid w:val="005D36F6"/>
    <w:rsid w:val="005D3C83"/>
    <w:rsid w:val="005D3F19"/>
    <w:rsid w:val="005D46D0"/>
    <w:rsid w:val="005D49F2"/>
    <w:rsid w:val="005D52C9"/>
    <w:rsid w:val="005D5726"/>
    <w:rsid w:val="005D5B3A"/>
    <w:rsid w:val="005D65DB"/>
    <w:rsid w:val="005D661D"/>
    <w:rsid w:val="005D690B"/>
    <w:rsid w:val="005D6B8B"/>
    <w:rsid w:val="005D6C05"/>
    <w:rsid w:val="005D7288"/>
    <w:rsid w:val="005D7900"/>
    <w:rsid w:val="005D7C02"/>
    <w:rsid w:val="005D7C07"/>
    <w:rsid w:val="005E152E"/>
    <w:rsid w:val="005E32AF"/>
    <w:rsid w:val="005E3309"/>
    <w:rsid w:val="005E3422"/>
    <w:rsid w:val="005E37EF"/>
    <w:rsid w:val="005E3930"/>
    <w:rsid w:val="005E3D35"/>
    <w:rsid w:val="005E4A93"/>
    <w:rsid w:val="005E4E98"/>
    <w:rsid w:val="005E50C9"/>
    <w:rsid w:val="005E6416"/>
    <w:rsid w:val="005E6B3D"/>
    <w:rsid w:val="005E6E7B"/>
    <w:rsid w:val="005E7D02"/>
    <w:rsid w:val="005E7FAC"/>
    <w:rsid w:val="005F02FE"/>
    <w:rsid w:val="005F0339"/>
    <w:rsid w:val="005F08A7"/>
    <w:rsid w:val="005F08D9"/>
    <w:rsid w:val="005F0A09"/>
    <w:rsid w:val="005F0F65"/>
    <w:rsid w:val="005F0FEE"/>
    <w:rsid w:val="005F131F"/>
    <w:rsid w:val="005F1806"/>
    <w:rsid w:val="005F1FAD"/>
    <w:rsid w:val="005F21BD"/>
    <w:rsid w:val="005F262F"/>
    <w:rsid w:val="005F3611"/>
    <w:rsid w:val="005F375B"/>
    <w:rsid w:val="005F384F"/>
    <w:rsid w:val="005F3C76"/>
    <w:rsid w:val="005F3CCF"/>
    <w:rsid w:val="005F4067"/>
    <w:rsid w:val="005F49CB"/>
    <w:rsid w:val="005F49E5"/>
    <w:rsid w:val="005F6575"/>
    <w:rsid w:val="005F69F7"/>
    <w:rsid w:val="005F6EB6"/>
    <w:rsid w:val="005F7BD1"/>
    <w:rsid w:val="006009AD"/>
    <w:rsid w:val="00600F3E"/>
    <w:rsid w:val="00601D5C"/>
    <w:rsid w:val="006021B6"/>
    <w:rsid w:val="006031B3"/>
    <w:rsid w:val="00603205"/>
    <w:rsid w:val="00603430"/>
    <w:rsid w:val="006045BB"/>
    <w:rsid w:val="00605A76"/>
    <w:rsid w:val="00606189"/>
    <w:rsid w:val="00607BBB"/>
    <w:rsid w:val="0061045B"/>
    <w:rsid w:val="006109B3"/>
    <w:rsid w:val="00610A3A"/>
    <w:rsid w:val="00610BE0"/>
    <w:rsid w:val="00610CD7"/>
    <w:rsid w:val="006112F2"/>
    <w:rsid w:val="00611417"/>
    <w:rsid w:val="00611F4A"/>
    <w:rsid w:val="006127A7"/>
    <w:rsid w:val="00612A65"/>
    <w:rsid w:val="00613999"/>
    <w:rsid w:val="00613D38"/>
    <w:rsid w:val="00613DBE"/>
    <w:rsid w:val="00614047"/>
    <w:rsid w:val="00614088"/>
    <w:rsid w:val="006146B6"/>
    <w:rsid w:val="00614AF6"/>
    <w:rsid w:val="00614B39"/>
    <w:rsid w:val="00615A00"/>
    <w:rsid w:val="00615B11"/>
    <w:rsid w:val="00615C65"/>
    <w:rsid w:val="00615D1B"/>
    <w:rsid w:val="00615FE2"/>
    <w:rsid w:val="0061609F"/>
    <w:rsid w:val="006161A8"/>
    <w:rsid w:val="006161D0"/>
    <w:rsid w:val="006168D1"/>
    <w:rsid w:val="00616B17"/>
    <w:rsid w:val="00617203"/>
    <w:rsid w:val="006176C5"/>
    <w:rsid w:val="0061778C"/>
    <w:rsid w:val="00620D1C"/>
    <w:rsid w:val="00620DFD"/>
    <w:rsid w:val="00621682"/>
    <w:rsid w:val="0062209C"/>
    <w:rsid w:val="00622178"/>
    <w:rsid w:val="006223B7"/>
    <w:rsid w:val="006225BA"/>
    <w:rsid w:val="00622666"/>
    <w:rsid w:val="006227DC"/>
    <w:rsid w:val="00622A3D"/>
    <w:rsid w:val="00622E42"/>
    <w:rsid w:val="0062336E"/>
    <w:rsid w:val="00623429"/>
    <w:rsid w:val="00623653"/>
    <w:rsid w:val="006236C0"/>
    <w:rsid w:val="00623D5A"/>
    <w:rsid w:val="00624BB4"/>
    <w:rsid w:val="00625015"/>
    <w:rsid w:val="0062578F"/>
    <w:rsid w:val="00626491"/>
    <w:rsid w:val="00626502"/>
    <w:rsid w:val="0062755C"/>
    <w:rsid w:val="006276A0"/>
    <w:rsid w:val="0062773D"/>
    <w:rsid w:val="00630321"/>
    <w:rsid w:val="00630912"/>
    <w:rsid w:val="00630A02"/>
    <w:rsid w:val="00631D81"/>
    <w:rsid w:val="00632963"/>
    <w:rsid w:val="00633D77"/>
    <w:rsid w:val="006340BD"/>
    <w:rsid w:val="006345FE"/>
    <w:rsid w:val="00634743"/>
    <w:rsid w:val="00634A67"/>
    <w:rsid w:val="00634B43"/>
    <w:rsid w:val="00634E71"/>
    <w:rsid w:val="006352A1"/>
    <w:rsid w:val="0063594C"/>
    <w:rsid w:val="00636085"/>
    <w:rsid w:val="00636173"/>
    <w:rsid w:val="006363A8"/>
    <w:rsid w:val="00637167"/>
    <w:rsid w:val="00637538"/>
    <w:rsid w:val="00640226"/>
    <w:rsid w:val="00640B07"/>
    <w:rsid w:val="00642410"/>
    <w:rsid w:val="00642592"/>
    <w:rsid w:val="00642BD4"/>
    <w:rsid w:val="00643390"/>
    <w:rsid w:val="0064382D"/>
    <w:rsid w:val="00643B96"/>
    <w:rsid w:val="0064402B"/>
    <w:rsid w:val="006454E1"/>
    <w:rsid w:val="006457D1"/>
    <w:rsid w:val="0064597E"/>
    <w:rsid w:val="00646764"/>
    <w:rsid w:val="00646D14"/>
    <w:rsid w:val="00646F0C"/>
    <w:rsid w:val="006477AF"/>
    <w:rsid w:val="00647A6F"/>
    <w:rsid w:val="00647DC1"/>
    <w:rsid w:val="00650EC3"/>
    <w:rsid w:val="006511CB"/>
    <w:rsid w:val="00651302"/>
    <w:rsid w:val="00651EF6"/>
    <w:rsid w:val="0065226F"/>
    <w:rsid w:val="00652B43"/>
    <w:rsid w:val="00653539"/>
    <w:rsid w:val="00653559"/>
    <w:rsid w:val="00654777"/>
    <w:rsid w:val="00655201"/>
    <w:rsid w:val="00655757"/>
    <w:rsid w:val="00656655"/>
    <w:rsid w:val="0065679A"/>
    <w:rsid w:val="00657C6C"/>
    <w:rsid w:val="0066000B"/>
    <w:rsid w:val="0066024A"/>
    <w:rsid w:val="00660D08"/>
    <w:rsid w:val="00661B5D"/>
    <w:rsid w:val="00661F21"/>
    <w:rsid w:val="00661F68"/>
    <w:rsid w:val="0066233C"/>
    <w:rsid w:val="00662BA8"/>
    <w:rsid w:val="006632E9"/>
    <w:rsid w:val="00663CD4"/>
    <w:rsid w:val="006643BE"/>
    <w:rsid w:val="00664649"/>
    <w:rsid w:val="0066498F"/>
    <w:rsid w:val="00664ADC"/>
    <w:rsid w:val="00665621"/>
    <w:rsid w:val="00665722"/>
    <w:rsid w:val="00665921"/>
    <w:rsid w:val="00665D18"/>
    <w:rsid w:val="00666126"/>
    <w:rsid w:val="00667348"/>
    <w:rsid w:val="00667A93"/>
    <w:rsid w:val="00670B31"/>
    <w:rsid w:val="00670D25"/>
    <w:rsid w:val="006711F7"/>
    <w:rsid w:val="0067130E"/>
    <w:rsid w:val="006714E9"/>
    <w:rsid w:val="00671744"/>
    <w:rsid w:val="0067266A"/>
    <w:rsid w:val="0067330D"/>
    <w:rsid w:val="006748BF"/>
    <w:rsid w:val="00674D82"/>
    <w:rsid w:val="00674E10"/>
    <w:rsid w:val="00674E44"/>
    <w:rsid w:val="00674F6B"/>
    <w:rsid w:val="00676C0B"/>
    <w:rsid w:val="00677DF8"/>
    <w:rsid w:val="00677F3E"/>
    <w:rsid w:val="006803BC"/>
    <w:rsid w:val="00680480"/>
    <w:rsid w:val="006805C8"/>
    <w:rsid w:val="00680845"/>
    <w:rsid w:val="00680D5E"/>
    <w:rsid w:val="00680EA8"/>
    <w:rsid w:val="00681DF1"/>
    <w:rsid w:val="006826CD"/>
    <w:rsid w:val="006828BC"/>
    <w:rsid w:val="00682EEF"/>
    <w:rsid w:val="00683646"/>
    <w:rsid w:val="006844A5"/>
    <w:rsid w:val="006849BA"/>
    <w:rsid w:val="00684E4A"/>
    <w:rsid w:val="00684F81"/>
    <w:rsid w:val="00685A89"/>
    <w:rsid w:val="00687078"/>
    <w:rsid w:val="006871CE"/>
    <w:rsid w:val="00687336"/>
    <w:rsid w:val="0068769E"/>
    <w:rsid w:val="0069054E"/>
    <w:rsid w:val="00690AD5"/>
    <w:rsid w:val="00691186"/>
    <w:rsid w:val="006916D0"/>
    <w:rsid w:val="00691AA8"/>
    <w:rsid w:val="006929B5"/>
    <w:rsid w:val="0069380B"/>
    <w:rsid w:val="00693F8B"/>
    <w:rsid w:val="0069426F"/>
    <w:rsid w:val="006944C8"/>
    <w:rsid w:val="00694CE7"/>
    <w:rsid w:val="0069573A"/>
    <w:rsid w:val="00695CFE"/>
    <w:rsid w:val="00695EAD"/>
    <w:rsid w:val="00696A59"/>
    <w:rsid w:val="0069753A"/>
    <w:rsid w:val="00697856"/>
    <w:rsid w:val="00697900"/>
    <w:rsid w:val="00697C25"/>
    <w:rsid w:val="00697DDE"/>
    <w:rsid w:val="006A0266"/>
    <w:rsid w:val="006A02F2"/>
    <w:rsid w:val="006A0616"/>
    <w:rsid w:val="006A0F8B"/>
    <w:rsid w:val="006A15EF"/>
    <w:rsid w:val="006A2539"/>
    <w:rsid w:val="006A2AEC"/>
    <w:rsid w:val="006A2AF3"/>
    <w:rsid w:val="006A31E8"/>
    <w:rsid w:val="006A37CE"/>
    <w:rsid w:val="006A3CD0"/>
    <w:rsid w:val="006A47B9"/>
    <w:rsid w:val="006A4B68"/>
    <w:rsid w:val="006A5F08"/>
    <w:rsid w:val="006A6C26"/>
    <w:rsid w:val="006A7D87"/>
    <w:rsid w:val="006B100E"/>
    <w:rsid w:val="006B1432"/>
    <w:rsid w:val="006B1D34"/>
    <w:rsid w:val="006B1D3D"/>
    <w:rsid w:val="006B2897"/>
    <w:rsid w:val="006B2D15"/>
    <w:rsid w:val="006B2DB8"/>
    <w:rsid w:val="006B40D0"/>
    <w:rsid w:val="006B4727"/>
    <w:rsid w:val="006B5418"/>
    <w:rsid w:val="006B5CC3"/>
    <w:rsid w:val="006B5F15"/>
    <w:rsid w:val="006B6580"/>
    <w:rsid w:val="006B726F"/>
    <w:rsid w:val="006C0D66"/>
    <w:rsid w:val="006C0EE3"/>
    <w:rsid w:val="006C12C3"/>
    <w:rsid w:val="006C17B5"/>
    <w:rsid w:val="006C23FF"/>
    <w:rsid w:val="006C2819"/>
    <w:rsid w:val="006C2AB7"/>
    <w:rsid w:val="006C2BC1"/>
    <w:rsid w:val="006C3551"/>
    <w:rsid w:val="006C386B"/>
    <w:rsid w:val="006C432A"/>
    <w:rsid w:val="006C484A"/>
    <w:rsid w:val="006C54B3"/>
    <w:rsid w:val="006C551B"/>
    <w:rsid w:val="006C5564"/>
    <w:rsid w:val="006C565E"/>
    <w:rsid w:val="006C6101"/>
    <w:rsid w:val="006C611A"/>
    <w:rsid w:val="006C6B2F"/>
    <w:rsid w:val="006C6F79"/>
    <w:rsid w:val="006C70AC"/>
    <w:rsid w:val="006C738A"/>
    <w:rsid w:val="006C7801"/>
    <w:rsid w:val="006D0775"/>
    <w:rsid w:val="006D09E2"/>
    <w:rsid w:val="006D0ED1"/>
    <w:rsid w:val="006D105C"/>
    <w:rsid w:val="006D147E"/>
    <w:rsid w:val="006D1609"/>
    <w:rsid w:val="006D1927"/>
    <w:rsid w:val="006D29FE"/>
    <w:rsid w:val="006D2C33"/>
    <w:rsid w:val="006D312E"/>
    <w:rsid w:val="006D38F3"/>
    <w:rsid w:val="006D3C3C"/>
    <w:rsid w:val="006D3D0E"/>
    <w:rsid w:val="006D4A8C"/>
    <w:rsid w:val="006D4B4A"/>
    <w:rsid w:val="006D5C25"/>
    <w:rsid w:val="006D65AB"/>
    <w:rsid w:val="006D6728"/>
    <w:rsid w:val="006D6E50"/>
    <w:rsid w:val="006D739A"/>
    <w:rsid w:val="006D7A56"/>
    <w:rsid w:val="006D7C24"/>
    <w:rsid w:val="006E0871"/>
    <w:rsid w:val="006E0EAE"/>
    <w:rsid w:val="006E0F1D"/>
    <w:rsid w:val="006E19C6"/>
    <w:rsid w:val="006E2075"/>
    <w:rsid w:val="006E27DC"/>
    <w:rsid w:val="006E286E"/>
    <w:rsid w:val="006E35B6"/>
    <w:rsid w:val="006E3677"/>
    <w:rsid w:val="006E3B2C"/>
    <w:rsid w:val="006E3E48"/>
    <w:rsid w:val="006E4A54"/>
    <w:rsid w:val="006E5190"/>
    <w:rsid w:val="006E6391"/>
    <w:rsid w:val="006E65AD"/>
    <w:rsid w:val="006E6FE3"/>
    <w:rsid w:val="006E7F14"/>
    <w:rsid w:val="006F0007"/>
    <w:rsid w:val="006F0D4E"/>
    <w:rsid w:val="006F11DE"/>
    <w:rsid w:val="006F127D"/>
    <w:rsid w:val="006F2501"/>
    <w:rsid w:val="006F2569"/>
    <w:rsid w:val="006F27A3"/>
    <w:rsid w:val="006F2C2A"/>
    <w:rsid w:val="006F2C7D"/>
    <w:rsid w:val="006F2D46"/>
    <w:rsid w:val="006F2F9C"/>
    <w:rsid w:val="006F3561"/>
    <w:rsid w:val="006F35E4"/>
    <w:rsid w:val="006F3AC6"/>
    <w:rsid w:val="006F40F8"/>
    <w:rsid w:val="006F4218"/>
    <w:rsid w:val="006F4713"/>
    <w:rsid w:val="006F4DAE"/>
    <w:rsid w:val="006F5804"/>
    <w:rsid w:val="006F5B92"/>
    <w:rsid w:val="006F5C6D"/>
    <w:rsid w:val="006F6225"/>
    <w:rsid w:val="006F63CE"/>
    <w:rsid w:val="006F68E0"/>
    <w:rsid w:val="006F6940"/>
    <w:rsid w:val="006F6AA1"/>
    <w:rsid w:val="006F6B9F"/>
    <w:rsid w:val="006F6CE7"/>
    <w:rsid w:val="006F72A8"/>
    <w:rsid w:val="006F787D"/>
    <w:rsid w:val="006F7D0E"/>
    <w:rsid w:val="007010D2"/>
    <w:rsid w:val="00701608"/>
    <w:rsid w:val="00702C58"/>
    <w:rsid w:val="00703163"/>
    <w:rsid w:val="00704330"/>
    <w:rsid w:val="00704927"/>
    <w:rsid w:val="00704FE0"/>
    <w:rsid w:val="00705100"/>
    <w:rsid w:val="00705942"/>
    <w:rsid w:val="007059AE"/>
    <w:rsid w:val="00705E5A"/>
    <w:rsid w:val="00706839"/>
    <w:rsid w:val="00706DF2"/>
    <w:rsid w:val="007071AA"/>
    <w:rsid w:val="00707C0B"/>
    <w:rsid w:val="0071047A"/>
    <w:rsid w:val="007104BB"/>
    <w:rsid w:val="00710630"/>
    <w:rsid w:val="00710DA4"/>
    <w:rsid w:val="00711201"/>
    <w:rsid w:val="00711994"/>
    <w:rsid w:val="007128DE"/>
    <w:rsid w:val="00712F8A"/>
    <w:rsid w:val="00713755"/>
    <w:rsid w:val="00714A92"/>
    <w:rsid w:val="00715F2F"/>
    <w:rsid w:val="00716018"/>
    <w:rsid w:val="007160DE"/>
    <w:rsid w:val="0071625E"/>
    <w:rsid w:val="007163C3"/>
    <w:rsid w:val="00716830"/>
    <w:rsid w:val="00716B86"/>
    <w:rsid w:val="00716C4B"/>
    <w:rsid w:val="0071739B"/>
    <w:rsid w:val="00717428"/>
    <w:rsid w:val="00717AA4"/>
    <w:rsid w:val="00720545"/>
    <w:rsid w:val="00720582"/>
    <w:rsid w:val="007206E9"/>
    <w:rsid w:val="00720860"/>
    <w:rsid w:val="00720EA1"/>
    <w:rsid w:val="00721640"/>
    <w:rsid w:val="00722379"/>
    <w:rsid w:val="00722F2B"/>
    <w:rsid w:val="00722F62"/>
    <w:rsid w:val="00723851"/>
    <w:rsid w:val="00723D59"/>
    <w:rsid w:val="00723FCF"/>
    <w:rsid w:val="00724A3B"/>
    <w:rsid w:val="00724AD3"/>
    <w:rsid w:val="00724B57"/>
    <w:rsid w:val="00724DE4"/>
    <w:rsid w:val="00724F70"/>
    <w:rsid w:val="007256F8"/>
    <w:rsid w:val="0072577D"/>
    <w:rsid w:val="007259EB"/>
    <w:rsid w:val="0072630B"/>
    <w:rsid w:val="0072668A"/>
    <w:rsid w:val="007273A9"/>
    <w:rsid w:val="00727B4C"/>
    <w:rsid w:val="00730DAA"/>
    <w:rsid w:val="00730F2F"/>
    <w:rsid w:val="00731733"/>
    <w:rsid w:val="00731A95"/>
    <w:rsid w:val="00731EBA"/>
    <w:rsid w:val="00731F56"/>
    <w:rsid w:val="007323ED"/>
    <w:rsid w:val="007323F2"/>
    <w:rsid w:val="007324BF"/>
    <w:rsid w:val="00732574"/>
    <w:rsid w:val="00732BF9"/>
    <w:rsid w:val="00733004"/>
    <w:rsid w:val="007334F3"/>
    <w:rsid w:val="0073374D"/>
    <w:rsid w:val="00733CD2"/>
    <w:rsid w:val="00734129"/>
    <w:rsid w:val="00734238"/>
    <w:rsid w:val="00736005"/>
    <w:rsid w:val="00736495"/>
    <w:rsid w:val="007364E3"/>
    <w:rsid w:val="00736F05"/>
    <w:rsid w:val="0073709E"/>
    <w:rsid w:val="007371A5"/>
    <w:rsid w:val="00737235"/>
    <w:rsid w:val="0073736F"/>
    <w:rsid w:val="007373EB"/>
    <w:rsid w:val="007374E4"/>
    <w:rsid w:val="00737526"/>
    <w:rsid w:val="00737786"/>
    <w:rsid w:val="0073796F"/>
    <w:rsid w:val="0074031E"/>
    <w:rsid w:val="007404B0"/>
    <w:rsid w:val="0074068A"/>
    <w:rsid w:val="00740732"/>
    <w:rsid w:val="00740FF0"/>
    <w:rsid w:val="00741167"/>
    <w:rsid w:val="007413CB"/>
    <w:rsid w:val="0074219B"/>
    <w:rsid w:val="007425E5"/>
    <w:rsid w:val="00742C28"/>
    <w:rsid w:val="00743317"/>
    <w:rsid w:val="00743508"/>
    <w:rsid w:val="00743698"/>
    <w:rsid w:val="00743D13"/>
    <w:rsid w:val="00743E69"/>
    <w:rsid w:val="007445BC"/>
    <w:rsid w:val="00744647"/>
    <w:rsid w:val="00744D8A"/>
    <w:rsid w:val="007452ED"/>
    <w:rsid w:val="00745428"/>
    <w:rsid w:val="00745638"/>
    <w:rsid w:val="007457C7"/>
    <w:rsid w:val="00745899"/>
    <w:rsid w:val="00745912"/>
    <w:rsid w:val="0074594F"/>
    <w:rsid w:val="00745C09"/>
    <w:rsid w:val="007469BC"/>
    <w:rsid w:val="00746A3E"/>
    <w:rsid w:val="00747C77"/>
    <w:rsid w:val="00747E2D"/>
    <w:rsid w:val="0075060E"/>
    <w:rsid w:val="007507CE"/>
    <w:rsid w:val="00750884"/>
    <w:rsid w:val="00751485"/>
    <w:rsid w:val="007514A9"/>
    <w:rsid w:val="007517EB"/>
    <w:rsid w:val="00751860"/>
    <w:rsid w:val="00752319"/>
    <w:rsid w:val="007526EC"/>
    <w:rsid w:val="00754D95"/>
    <w:rsid w:val="00754E83"/>
    <w:rsid w:val="00754FFE"/>
    <w:rsid w:val="00755B62"/>
    <w:rsid w:val="00755ED0"/>
    <w:rsid w:val="0075604B"/>
    <w:rsid w:val="007561BD"/>
    <w:rsid w:val="00756669"/>
    <w:rsid w:val="00756B7E"/>
    <w:rsid w:val="00757719"/>
    <w:rsid w:val="00757C16"/>
    <w:rsid w:val="00757CBB"/>
    <w:rsid w:val="00760B04"/>
    <w:rsid w:val="00760EA5"/>
    <w:rsid w:val="00760FD9"/>
    <w:rsid w:val="00761FD6"/>
    <w:rsid w:val="0076272B"/>
    <w:rsid w:val="00762742"/>
    <w:rsid w:val="007637AC"/>
    <w:rsid w:val="007638A5"/>
    <w:rsid w:val="0076427E"/>
    <w:rsid w:val="00764DD3"/>
    <w:rsid w:val="007650DD"/>
    <w:rsid w:val="007654DB"/>
    <w:rsid w:val="0076593A"/>
    <w:rsid w:val="00765C68"/>
    <w:rsid w:val="00766654"/>
    <w:rsid w:val="007666E9"/>
    <w:rsid w:val="00766CBE"/>
    <w:rsid w:val="00766DCA"/>
    <w:rsid w:val="00766DD8"/>
    <w:rsid w:val="00767220"/>
    <w:rsid w:val="00767CC5"/>
    <w:rsid w:val="007700C1"/>
    <w:rsid w:val="00770296"/>
    <w:rsid w:val="00770614"/>
    <w:rsid w:val="007706AC"/>
    <w:rsid w:val="00770C8D"/>
    <w:rsid w:val="00771187"/>
    <w:rsid w:val="00771403"/>
    <w:rsid w:val="007727A3"/>
    <w:rsid w:val="0077300B"/>
    <w:rsid w:val="00773E91"/>
    <w:rsid w:val="007750E8"/>
    <w:rsid w:val="0077638F"/>
    <w:rsid w:val="00776FE2"/>
    <w:rsid w:val="00777BBE"/>
    <w:rsid w:val="00777F5C"/>
    <w:rsid w:val="00780494"/>
    <w:rsid w:val="00781AE1"/>
    <w:rsid w:val="00782162"/>
    <w:rsid w:val="00782E40"/>
    <w:rsid w:val="0078342D"/>
    <w:rsid w:val="0078387E"/>
    <w:rsid w:val="00784303"/>
    <w:rsid w:val="00784667"/>
    <w:rsid w:val="007848A7"/>
    <w:rsid w:val="00784F03"/>
    <w:rsid w:val="00784FCC"/>
    <w:rsid w:val="0078511C"/>
    <w:rsid w:val="00785973"/>
    <w:rsid w:val="00786CCB"/>
    <w:rsid w:val="00786F36"/>
    <w:rsid w:val="00787161"/>
    <w:rsid w:val="007873DD"/>
    <w:rsid w:val="00790440"/>
    <w:rsid w:val="00790B30"/>
    <w:rsid w:val="007910DA"/>
    <w:rsid w:val="00791A1D"/>
    <w:rsid w:val="0079211D"/>
    <w:rsid w:val="007923DC"/>
    <w:rsid w:val="00792A21"/>
    <w:rsid w:val="00792E06"/>
    <w:rsid w:val="00793171"/>
    <w:rsid w:val="00793A53"/>
    <w:rsid w:val="007942D5"/>
    <w:rsid w:val="00794824"/>
    <w:rsid w:val="00794A9F"/>
    <w:rsid w:val="00794FF3"/>
    <w:rsid w:val="0079507D"/>
    <w:rsid w:val="00796227"/>
    <w:rsid w:val="007964CF"/>
    <w:rsid w:val="00796817"/>
    <w:rsid w:val="00796A02"/>
    <w:rsid w:val="00796B66"/>
    <w:rsid w:val="00797697"/>
    <w:rsid w:val="007976A5"/>
    <w:rsid w:val="00797A84"/>
    <w:rsid w:val="00797F24"/>
    <w:rsid w:val="007A1962"/>
    <w:rsid w:val="007A1B03"/>
    <w:rsid w:val="007A2860"/>
    <w:rsid w:val="007A28FC"/>
    <w:rsid w:val="007A2C25"/>
    <w:rsid w:val="007A34CE"/>
    <w:rsid w:val="007A3522"/>
    <w:rsid w:val="007A3878"/>
    <w:rsid w:val="007A39EE"/>
    <w:rsid w:val="007A3B2C"/>
    <w:rsid w:val="007A3DD2"/>
    <w:rsid w:val="007A3E52"/>
    <w:rsid w:val="007A42D1"/>
    <w:rsid w:val="007A4A2B"/>
    <w:rsid w:val="007A4B29"/>
    <w:rsid w:val="007A593C"/>
    <w:rsid w:val="007A5E31"/>
    <w:rsid w:val="007A628A"/>
    <w:rsid w:val="007A6D2D"/>
    <w:rsid w:val="007A70E4"/>
    <w:rsid w:val="007A7DDD"/>
    <w:rsid w:val="007B1041"/>
    <w:rsid w:val="007B13C4"/>
    <w:rsid w:val="007B154B"/>
    <w:rsid w:val="007B27DA"/>
    <w:rsid w:val="007B2AD2"/>
    <w:rsid w:val="007B2EA4"/>
    <w:rsid w:val="007B37F8"/>
    <w:rsid w:val="007B3C58"/>
    <w:rsid w:val="007B418E"/>
    <w:rsid w:val="007B44DE"/>
    <w:rsid w:val="007B4760"/>
    <w:rsid w:val="007B4C69"/>
    <w:rsid w:val="007B524F"/>
    <w:rsid w:val="007B53EF"/>
    <w:rsid w:val="007B541E"/>
    <w:rsid w:val="007B5A08"/>
    <w:rsid w:val="007B5A94"/>
    <w:rsid w:val="007B6281"/>
    <w:rsid w:val="007B6301"/>
    <w:rsid w:val="007B6452"/>
    <w:rsid w:val="007B6489"/>
    <w:rsid w:val="007B66B3"/>
    <w:rsid w:val="007B6824"/>
    <w:rsid w:val="007B79C9"/>
    <w:rsid w:val="007B79F5"/>
    <w:rsid w:val="007B7BFA"/>
    <w:rsid w:val="007C05BE"/>
    <w:rsid w:val="007C0CF8"/>
    <w:rsid w:val="007C0F0D"/>
    <w:rsid w:val="007C116A"/>
    <w:rsid w:val="007C1545"/>
    <w:rsid w:val="007C181F"/>
    <w:rsid w:val="007C1DE0"/>
    <w:rsid w:val="007C1E8A"/>
    <w:rsid w:val="007C25D1"/>
    <w:rsid w:val="007C28AC"/>
    <w:rsid w:val="007C2D25"/>
    <w:rsid w:val="007C3E1C"/>
    <w:rsid w:val="007C44B1"/>
    <w:rsid w:val="007C46ED"/>
    <w:rsid w:val="007C4D2B"/>
    <w:rsid w:val="007C58B8"/>
    <w:rsid w:val="007C611C"/>
    <w:rsid w:val="007C75CD"/>
    <w:rsid w:val="007C75E2"/>
    <w:rsid w:val="007C777E"/>
    <w:rsid w:val="007C7946"/>
    <w:rsid w:val="007C7A1B"/>
    <w:rsid w:val="007C7CBC"/>
    <w:rsid w:val="007D0717"/>
    <w:rsid w:val="007D09ED"/>
    <w:rsid w:val="007D0E28"/>
    <w:rsid w:val="007D0F71"/>
    <w:rsid w:val="007D10F4"/>
    <w:rsid w:val="007D1573"/>
    <w:rsid w:val="007D1C9B"/>
    <w:rsid w:val="007D1F1D"/>
    <w:rsid w:val="007D25C5"/>
    <w:rsid w:val="007D28B7"/>
    <w:rsid w:val="007D2AF5"/>
    <w:rsid w:val="007D2EE2"/>
    <w:rsid w:val="007D348D"/>
    <w:rsid w:val="007D3C98"/>
    <w:rsid w:val="007D40E3"/>
    <w:rsid w:val="007D43B1"/>
    <w:rsid w:val="007D49FD"/>
    <w:rsid w:val="007D4A03"/>
    <w:rsid w:val="007D4E13"/>
    <w:rsid w:val="007D4E84"/>
    <w:rsid w:val="007D4FD8"/>
    <w:rsid w:val="007D509E"/>
    <w:rsid w:val="007D5612"/>
    <w:rsid w:val="007D61FA"/>
    <w:rsid w:val="007D6315"/>
    <w:rsid w:val="007D6AD8"/>
    <w:rsid w:val="007E0378"/>
    <w:rsid w:val="007E0553"/>
    <w:rsid w:val="007E0822"/>
    <w:rsid w:val="007E090A"/>
    <w:rsid w:val="007E0943"/>
    <w:rsid w:val="007E141A"/>
    <w:rsid w:val="007E1D05"/>
    <w:rsid w:val="007E1F63"/>
    <w:rsid w:val="007E2E4C"/>
    <w:rsid w:val="007E3163"/>
    <w:rsid w:val="007E3733"/>
    <w:rsid w:val="007E37C8"/>
    <w:rsid w:val="007E3E90"/>
    <w:rsid w:val="007E407C"/>
    <w:rsid w:val="007E4255"/>
    <w:rsid w:val="007E4343"/>
    <w:rsid w:val="007E47D8"/>
    <w:rsid w:val="007E491B"/>
    <w:rsid w:val="007E4FA7"/>
    <w:rsid w:val="007E58A5"/>
    <w:rsid w:val="007E5950"/>
    <w:rsid w:val="007E73FC"/>
    <w:rsid w:val="007E7956"/>
    <w:rsid w:val="007F07A0"/>
    <w:rsid w:val="007F0DBB"/>
    <w:rsid w:val="007F1063"/>
    <w:rsid w:val="007F11AD"/>
    <w:rsid w:val="007F19FC"/>
    <w:rsid w:val="007F1F06"/>
    <w:rsid w:val="007F1F41"/>
    <w:rsid w:val="007F2600"/>
    <w:rsid w:val="007F2D5B"/>
    <w:rsid w:val="007F3332"/>
    <w:rsid w:val="007F3911"/>
    <w:rsid w:val="007F3B2C"/>
    <w:rsid w:val="007F4059"/>
    <w:rsid w:val="007F414A"/>
    <w:rsid w:val="007F4A9F"/>
    <w:rsid w:val="007F5534"/>
    <w:rsid w:val="007F55ED"/>
    <w:rsid w:val="007F688C"/>
    <w:rsid w:val="007F6F70"/>
    <w:rsid w:val="007F7F7A"/>
    <w:rsid w:val="008002AF"/>
    <w:rsid w:val="008005AC"/>
    <w:rsid w:val="008005D8"/>
    <w:rsid w:val="00800BD4"/>
    <w:rsid w:val="00800EAC"/>
    <w:rsid w:val="008018F1"/>
    <w:rsid w:val="008021AC"/>
    <w:rsid w:val="008028DB"/>
    <w:rsid w:val="00802947"/>
    <w:rsid w:val="00802F1B"/>
    <w:rsid w:val="008034CE"/>
    <w:rsid w:val="00803DD7"/>
    <w:rsid w:val="008041F6"/>
    <w:rsid w:val="00804A75"/>
    <w:rsid w:val="00804CC3"/>
    <w:rsid w:val="00804CD5"/>
    <w:rsid w:val="00804F02"/>
    <w:rsid w:val="008052FB"/>
    <w:rsid w:val="00806387"/>
    <w:rsid w:val="00806F48"/>
    <w:rsid w:val="0080704F"/>
    <w:rsid w:val="008077D6"/>
    <w:rsid w:val="00810246"/>
    <w:rsid w:val="00810F7A"/>
    <w:rsid w:val="00813A62"/>
    <w:rsid w:val="00814961"/>
    <w:rsid w:val="008149F3"/>
    <w:rsid w:val="00814C0D"/>
    <w:rsid w:val="00814EC6"/>
    <w:rsid w:val="00814F28"/>
    <w:rsid w:val="00815574"/>
    <w:rsid w:val="00815F95"/>
    <w:rsid w:val="00815FDD"/>
    <w:rsid w:val="0081629C"/>
    <w:rsid w:val="008165F3"/>
    <w:rsid w:val="00817B12"/>
    <w:rsid w:val="00817FAB"/>
    <w:rsid w:val="00820427"/>
    <w:rsid w:val="00821632"/>
    <w:rsid w:val="0082198F"/>
    <w:rsid w:val="00821A3E"/>
    <w:rsid w:val="00822356"/>
    <w:rsid w:val="00822BCF"/>
    <w:rsid w:val="008231D4"/>
    <w:rsid w:val="00823229"/>
    <w:rsid w:val="0082362D"/>
    <w:rsid w:val="00823A2E"/>
    <w:rsid w:val="00823FCE"/>
    <w:rsid w:val="00824CE4"/>
    <w:rsid w:val="00825EF8"/>
    <w:rsid w:val="008262CB"/>
    <w:rsid w:val="00826663"/>
    <w:rsid w:val="008266F3"/>
    <w:rsid w:val="0082722E"/>
    <w:rsid w:val="00830CA2"/>
    <w:rsid w:val="00830E84"/>
    <w:rsid w:val="0083142C"/>
    <w:rsid w:val="008326C7"/>
    <w:rsid w:val="00832BC0"/>
    <w:rsid w:val="00832E59"/>
    <w:rsid w:val="00832EAB"/>
    <w:rsid w:val="00833688"/>
    <w:rsid w:val="008338BD"/>
    <w:rsid w:val="0083449C"/>
    <w:rsid w:val="00835B11"/>
    <w:rsid w:val="00836A27"/>
    <w:rsid w:val="00836BD6"/>
    <w:rsid w:val="00836D5E"/>
    <w:rsid w:val="00836D6A"/>
    <w:rsid w:val="008372F6"/>
    <w:rsid w:val="0083790A"/>
    <w:rsid w:val="00837DDC"/>
    <w:rsid w:val="00840060"/>
    <w:rsid w:val="00840EBF"/>
    <w:rsid w:val="0084147C"/>
    <w:rsid w:val="008419E2"/>
    <w:rsid w:val="008419ED"/>
    <w:rsid w:val="00841AEC"/>
    <w:rsid w:val="00841F7C"/>
    <w:rsid w:val="008437FB"/>
    <w:rsid w:val="00843A6C"/>
    <w:rsid w:val="00843AF2"/>
    <w:rsid w:val="00844649"/>
    <w:rsid w:val="00844B6F"/>
    <w:rsid w:val="00844BA7"/>
    <w:rsid w:val="00844DF6"/>
    <w:rsid w:val="008451F6"/>
    <w:rsid w:val="00845269"/>
    <w:rsid w:val="00846AA7"/>
    <w:rsid w:val="00846F62"/>
    <w:rsid w:val="00846FAA"/>
    <w:rsid w:val="00847276"/>
    <w:rsid w:val="00847842"/>
    <w:rsid w:val="00847894"/>
    <w:rsid w:val="008478E8"/>
    <w:rsid w:val="00847F21"/>
    <w:rsid w:val="0085025B"/>
    <w:rsid w:val="008504A8"/>
    <w:rsid w:val="00850622"/>
    <w:rsid w:val="008508AE"/>
    <w:rsid w:val="00850A2F"/>
    <w:rsid w:val="00850D3E"/>
    <w:rsid w:val="008510F2"/>
    <w:rsid w:val="00851622"/>
    <w:rsid w:val="008519B0"/>
    <w:rsid w:val="008522CA"/>
    <w:rsid w:val="0085274E"/>
    <w:rsid w:val="00852BFF"/>
    <w:rsid w:val="008531A4"/>
    <w:rsid w:val="0085324B"/>
    <w:rsid w:val="00853427"/>
    <w:rsid w:val="00853AB5"/>
    <w:rsid w:val="00854F11"/>
    <w:rsid w:val="008552F5"/>
    <w:rsid w:val="00855375"/>
    <w:rsid w:val="00855D59"/>
    <w:rsid w:val="00855DE9"/>
    <w:rsid w:val="0085605F"/>
    <w:rsid w:val="008562C2"/>
    <w:rsid w:val="008569ED"/>
    <w:rsid w:val="00856FF7"/>
    <w:rsid w:val="00857129"/>
    <w:rsid w:val="00857379"/>
    <w:rsid w:val="0085761F"/>
    <w:rsid w:val="00857831"/>
    <w:rsid w:val="00857BF8"/>
    <w:rsid w:val="008604F9"/>
    <w:rsid w:val="00860560"/>
    <w:rsid w:val="00860EB6"/>
    <w:rsid w:val="00861495"/>
    <w:rsid w:val="008617DE"/>
    <w:rsid w:val="00861F7F"/>
    <w:rsid w:val="00861F89"/>
    <w:rsid w:val="00861F8E"/>
    <w:rsid w:val="00862045"/>
    <w:rsid w:val="008623D7"/>
    <w:rsid w:val="00862B8B"/>
    <w:rsid w:val="00862ED2"/>
    <w:rsid w:val="00863CA1"/>
    <w:rsid w:val="008641A7"/>
    <w:rsid w:val="00864800"/>
    <w:rsid w:val="0086483F"/>
    <w:rsid w:val="00864FC5"/>
    <w:rsid w:val="0086535A"/>
    <w:rsid w:val="00865A53"/>
    <w:rsid w:val="00865B8D"/>
    <w:rsid w:val="00865BB0"/>
    <w:rsid w:val="0086702D"/>
    <w:rsid w:val="00867E67"/>
    <w:rsid w:val="008700FC"/>
    <w:rsid w:val="0087097D"/>
    <w:rsid w:val="00870BB0"/>
    <w:rsid w:val="008712E1"/>
    <w:rsid w:val="00871C28"/>
    <w:rsid w:val="00871FF3"/>
    <w:rsid w:val="0087363A"/>
    <w:rsid w:val="008737C7"/>
    <w:rsid w:val="00873C7F"/>
    <w:rsid w:val="008744D1"/>
    <w:rsid w:val="00874EFD"/>
    <w:rsid w:val="0087625C"/>
    <w:rsid w:val="00876C40"/>
    <w:rsid w:val="00877209"/>
    <w:rsid w:val="00877700"/>
    <w:rsid w:val="00880620"/>
    <w:rsid w:val="008809E1"/>
    <w:rsid w:val="008819DB"/>
    <w:rsid w:val="00881CF6"/>
    <w:rsid w:val="008829CA"/>
    <w:rsid w:val="00882A1D"/>
    <w:rsid w:val="00882C9D"/>
    <w:rsid w:val="0088392F"/>
    <w:rsid w:val="00883EF6"/>
    <w:rsid w:val="00884981"/>
    <w:rsid w:val="00884F0B"/>
    <w:rsid w:val="00885220"/>
    <w:rsid w:val="00885486"/>
    <w:rsid w:val="00885A80"/>
    <w:rsid w:val="008863FA"/>
    <w:rsid w:val="0088652F"/>
    <w:rsid w:val="008869EA"/>
    <w:rsid w:val="00886B4F"/>
    <w:rsid w:val="00886D98"/>
    <w:rsid w:val="008872B5"/>
    <w:rsid w:val="0088770F"/>
    <w:rsid w:val="00887DE0"/>
    <w:rsid w:val="008901AA"/>
    <w:rsid w:val="00890435"/>
    <w:rsid w:val="00890C54"/>
    <w:rsid w:val="00890F08"/>
    <w:rsid w:val="00891349"/>
    <w:rsid w:val="00891B72"/>
    <w:rsid w:val="0089330D"/>
    <w:rsid w:val="00893623"/>
    <w:rsid w:val="0089392B"/>
    <w:rsid w:val="00893B8A"/>
    <w:rsid w:val="0089418B"/>
    <w:rsid w:val="00894824"/>
    <w:rsid w:val="008956A3"/>
    <w:rsid w:val="00895B93"/>
    <w:rsid w:val="00895E4B"/>
    <w:rsid w:val="00896374"/>
    <w:rsid w:val="00896E75"/>
    <w:rsid w:val="00897140"/>
    <w:rsid w:val="00897DF7"/>
    <w:rsid w:val="00897E36"/>
    <w:rsid w:val="008A016D"/>
    <w:rsid w:val="008A0B27"/>
    <w:rsid w:val="008A0C07"/>
    <w:rsid w:val="008A12D6"/>
    <w:rsid w:val="008A141E"/>
    <w:rsid w:val="008A1A87"/>
    <w:rsid w:val="008A1CFA"/>
    <w:rsid w:val="008A2195"/>
    <w:rsid w:val="008A2E2F"/>
    <w:rsid w:val="008A2F5F"/>
    <w:rsid w:val="008A2F6D"/>
    <w:rsid w:val="008A327B"/>
    <w:rsid w:val="008A3496"/>
    <w:rsid w:val="008A36A4"/>
    <w:rsid w:val="008A3B98"/>
    <w:rsid w:val="008A4A92"/>
    <w:rsid w:val="008A5430"/>
    <w:rsid w:val="008A5471"/>
    <w:rsid w:val="008A5929"/>
    <w:rsid w:val="008A5D1D"/>
    <w:rsid w:val="008A63AF"/>
    <w:rsid w:val="008A64D0"/>
    <w:rsid w:val="008A67B4"/>
    <w:rsid w:val="008A6B2E"/>
    <w:rsid w:val="008A71F1"/>
    <w:rsid w:val="008A7935"/>
    <w:rsid w:val="008B03A9"/>
    <w:rsid w:val="008B0595"/>
    <w:rsid w:val="008B14D7"/>
    <w:rsid w:val="008B170E"/>
    <w:rsid w:val="008B1990"/>
    <w:rsid w:val="008B2027"/>
    <w:rsid w:val="008B248E"/>
    <w:rsid w:val="008B24F1"/>
    <w:rsid w:val="008B2899"/>
    <w:rsid w:val="008B2BD7"/>
    <w:rsid w:val="008B321E"/>
    <w:rsid w:val="008B3341"/>
    <w:rsid w:val="008B4247"/>
    <w:rsid w:val="008B42CD"/>
    <w:rsid w:val="008B5526"/>
    <w:rsid w:val="008B5F5A"/>
    <w:rsid w:val="008B64D1"/>
    <w:rsid w:val="008B6681"/>
    <w:rsid w:val="008B6E42"/>
    <w:rsid w:val="008B6EF8"/>
    <w:rsid w:val="008B759B"/>
    <w:rsid w:val="008B79AB"/>
    <w:rsid w:val="008B7ECF"/>
    <w:rsid w:val="008C0F1C"/>
    <w:rsid w:val="008C10B8"/>
    <w:rsid w:val="008C165A"/>
    <w:rsid w:val="008C1724"/>
    <w:rsid w:val="008C17AE"/>
    <w:rsid w:val="008C190F"/>
    <w:rsid w:val="008C19FF"/>
    <w:rsid w:val="008C1DAB"/>
    <w:rsid w:val="008C2D0B"/>
    <w:rsid w:val="008C2DCE"/>
    <w:rsid w:val="008C2E57"/>
    <w:rsid w:val="008C31D5"/>
    <w:rsid w:val="008C4B50"/>
    <w:rsid w:val="008C4FDE"/>
    <w:rsid w:val="008C520B"/>
    <w:rsid w:val="008C5280"/>
    <w:rsid w:val="008C560F"/>
    <w:rsid w:val="008C5685"/>
    <w:rsid w:val="008C5C7E"/>
    <w:rsid w:val="008C5F63"/>
    <w:rsid w:val="008C6344"/>
    <w:rsid w:val="008C6A97"/>
    <w:rsid w:val="008C7A6B"/>
    <w:rsid w:val="008D03D7"/>
    <w:rsid w:val="008D0C1C"/>
    <w:rsid w:val="008D1102"/>
    <w:rsid w:val="008D1699"/>
    <w:rsid w:val="008D1825"/>
    <w:rsid w:val="008D1A31"/>
    <w:rsid w:val="008D1F24"/>
    <w:rsid w:val="008D258E"/>
    <w:rsid w:val="008D25F3"/>
    <w:rsid w:val="008D2708"/>
    <w:rsid w:val="008D2C78"/>
    <w:rsid w:val="008D31F4"/>
    <w:rsid w:val="008D32AB"/>
    <w:rsid w:val="008D361C"/>
    <w:rsid w:val="008D3E9F"/>
    <w:rsid w:val="008D458C"/>
    <w:rsid w:val="008D483D"/>
    <w:rsid w:val="008D508C"/>
    <w:rsid w:val="008D53CE"/>
    <w:rsid w:val="008D553B"/>
    <w:rsid w:val="008D5952"/>
    <w:rsid w:val="008D61A1"/>
    <w:rsid w:val="008D638E"/>
    <w:rsid w:val="008D6486"/>
    <w:rsid w:val="008D6855"/>
    <w:rsid w:val="008D71AD"/>
    <w:rsid w:val="008D7234"/>
    <w:rsid w:val="008D76F1"/>
    <w:rsid w:val="008E017E"/>
    <w:rsid w:val="008E04D9"/>
    <w:rsid w:val="008E075C"/>
    <w:rsid w:val="008E0917"/>
    <w:rsid w:val="008E14A1"/>
    <w:rsid w:val="008E270B"/>
    <w:rsid w:val="008E2F86"/>
    <w:rsid w:val="008E3054"/>
    <w:rsid w:val="008E380F"/>
    <w:rsid w:val="008E3A0D"/>
    <w:rsid w:val="008E3BCF"/>
    <w:rsid w:val="008E447F"/>
    <w:rsid w:val="008E465E"/>
    <w:rsid w:val="008E5051"/>
    <w:rsid w:val="008E5614"/>
    <w:rsid w:val="008E56D0"/>
    <w:rsid w:val="008E58C6"/>
    <w:rsid w:val="008E5B81"/>
    <w:rsid w:val="008E5C1D"/>
    <w:rsid w:val="008E6491"/>
    <w:rsid w:val="008E697D"/>
    <w:rsid w:val="008E6A7B"/>
    <w:rsid w:val="008E7407"/>
    <w:rsid w:val="008E7545"/>
    <w:rsid w:val="008E77DD"/>
    <w:rsid w:val="008F03F5"/>
    <w:rsid w:val="008F07C3"/>
    <w:rsid w:val="008F1366"/>
    <w:rsid w:val="008F186A"/>
    <w:rsid w:val="008F19C3"/>
    <w:rsid w:val="008F1D8D"/>
    <w:rsid w:val="008F2736"/>
    <w:rsid w:val="008F2D01"/>
    <w:rsid w:val="008F2E2E"/>
    <w:rsid w:val="008F3EB5"/>
    <w:rsid w:val="008F447D"/>
    <w:rsid w:val="008F461A"/>
    <w:rsid w:val="008F5CCC"/>
    <w:rsid w:val="008F636C"/>
    <w:rsid w:val="008F6770"/>
    <w:rsid w:val="008F6AED"/>
    <w:rsid w:val="008F722B"/>
    <w:rsid w:val="008F754B"/>
    <w:rsid w:val="008F77D6"/>
    <w:rsid w:val="00900579"/>
    <w:rsid w:val="00900796"/>
    <w:rsid w:val="00900867"/>
    <w:rsid w:val="00900ABE"/>
    <w:rsid w:val="0090105F"/>
    <w:rsid w:val="00901134"/>
    <w:rsid w:val="009019C7"/>
    <w:rsid w:val="00901B17"/>
    <w:rsid w:val="00901D12"/>
    <w:rsid w:val="00902226"/>
    <w:rsid w:val="0090294C"/>
    <w:rsid w:val="00902D96"/>
    <w:rsid w:val="00902EB3"/>
    <w:rsid w:val="009034C0"/>
    <w:rsid w:val="0090367C"/>
    <w:rsid w:val="00903918"/>
    <w:rsid w:val="009039CB"/>
    <w:rsid w:val="00903DE7"/>
    <w:rsid w:val="00904421"/>
    <w:rsid w:val="009044DE"/>
    <w:rsid w:val="0090484F"/>
    <w:rsid w:val="00905208"/>
    <w:rsid w:val="00905B6C"/>
    <w:rsid w:val="00906116"/>
    <w:rsid w:val="00906A87"/>
    <w:rsid w:val="00906AB4"/>
    <w:rsid w:val="00906AC0"/>
    <w:rsid w:val="00906C46"/>
    <w:rsid w:val="00907E55"/>
    <w:rsid w:val="00907E5B"/>
    <w:rsid w:val="0091073B"/>
    <w:rsid w:val="0091086D"/>
    <w:rsid w:val="0091275A"/>
    <w:rsid w:val="00912EF7"/>
    <w:rsid w:val="009132EF"/>
    <w:rsid w:val="0091349F"/>
    <w:rsid w:val="00913804"/>
    <w:rsid w:val="00914599"/>
    <w:rsid w:val="00914B2E"/>
    <w:rsid w:val="009156EC"/>
    <w:rsid w:val="0091599B"/>
    <w:rsid w:val="009159D8"/>
    <w:rsid w:val="00915D0F"/>
    <w:rsid w:val="00915E4A"/>
    <w:rsid w:val="00916167"/>
    <w:rsid w:val="0091680A"/>
    <w:rsid w:val="00917B44"/>
    <w:rsid w:val="00917D90"/>
    <w:rsid w:val="00920534"/>
    <w:rsid w:val="009205A6"/>
    <w:rsid w:val="00920DB5"/>
    <w:rsid w:val="009212A8"/>
    <w:rsid w:val="00921D14"/>
    <w:rsid w:val="00922394"/>
    <w:rsid w:val="0092299C"/>
    <w:rsid w:val="00922BEC"/>
    <w:rsid w:val="00923257"/>
    <w:rsid w:val="00923D79"/>
    <w:rsid w:val="0092482D"/>
    <w:rsid w:val="00925122"/>
    <w:rsid w:val="00926228"/>
    <w:rsid w:val="00926A0F"/>
    <w:rsid w:val="009303A3"/>
    <w:rsid w:val="00930A27"/>
    <w:rsid w:val="00930CE9"/>
    <w:rsid w:val="00930DE7"/>
    <w:rsid w:val="00931BB9"/>
    <w:rsid w:val="009328A7"/>
    <w:rsid w:val="00932DA9"/>
    <w:rsid w:val="00932E1F"/>
    <w:rsid w:val="00933393"/>
    <w:rsid w:val="0093344C"/>
    <w:rsid w:val="00933B0E"/>
    <w:rsid w:val="00934063"/>
    <w:rsid w:val="009347AC"/>
    <w:rsid w:val="009351DC"/>
    <w:rsid w:val="00935BC9"/>
    <w:rsid w:val="00935D50"/>
    <w:rsid w:val="009365B8"/>
    <w:rsid w:val="00936651"/>
    <w:rsid w:val="00936980"/>
    <w:rsid w:val="00936F40"/>
    <w:rsid w:val="009372F7"/>
    <w:rsid w:val="00937A5C"/>
    <w:rsid w:val="00937EE9"/>
    <w:rsid w:val="009405A0"/>
    <w:rsid w:val="009405B8"/>
    <w:rsid w:val="009408C8"/>
    <w:rsid w:val="009414A0"/>
    <w:rsid w:val="00941B53"/>
    <w:rsid w:val="0094215C"/>
    <w:rsid w:val="00942638"/>
    <w:rsid w:val="00942A5B"/>
    <w:rsid w:val="00942B65"/>
    <w:rsid w:val="00942C08"/>
    <w:rsid w:val="00943655"/>
    <w:rsid w:val="00943775"/>
    <w:rsid w:val="00943B99"/>
    <w:rsid w:val="00943EFE"/>
    <w:rsid w:val="009440B8"/>
    <w:rsid w:val="00944561"/>
    <w:rsid w:val="009449E1"/>
    <w:rsid w:val="00944DC9"/>
    <w:rsid w:val="009451CE"/>
    <w:rsid w:val="00945F05"/>
    <w:rsid w:val="009461B4"/>
    <w:rsid w:val="00946457"/>
    <w:rsid w:val="009469D6"/>
    <w:rsid w:val="00946C7D"/>
    <w:rsid w:val="00946D4E"/>
    <w:rsid w:val="0095013C"/>
    <w:rsid w:val="00950742"/>
    <w:rsid w:val="00950B3E"/>
    <w:rsid w:val="00950C6C"/>
    <w:rsid w:val="0095126E"/>
    <w:rsid w:val="00951458"/>
    <w:rsid w:val="0095153B"/>
    <w:rsid w:val="009515D5"/>
    <w:rsid w:val="00951819"/>
    <w:rsid w:val="009521BC"/>
    <w:rsid w:val="009523C4"/>
    <w:rsid w:val="00952843"/>
    <w:rsid w:val="00953CA5"/>
    <w:rsid w:val="0095402B"/>
    <w:rsid w:val="00954397"/>
    <w:rsid w:val="00955008"/>
    <w:rsid w:val="00955BD0"/>
    <w:rsid w:val="00956865"/>
    <w:rsid w:val="00956CA2"/>
    <w:rsid w:val="00956DF1"/>
    <w:rsid w:val="00956E19"/>
    <w:rsid w:val="0095746E"/>
    <w:rsid w:val="00957694"/>
    <w:rsid w:val="009577E2"/>
    <w:rsid w:val="009578C6"/>
    <w:rsid w:val="00957A66"/>
    <w:rsid w:val="00957A92"/>
    <w:rsid w:val="0096046A"/>
    <w:rsid w:val="0096151A"/>
    <w:rsid w:val="00961A45"/>
    <w:rsid w:val="00962B70"/>
    <w:rsid w:val="00962F86"/>
    <w:rsid w:val="00962FD5"/>
    <w:rsid w:val="009630D9"/>
    <w:rsid w:val="00963537"/>
    <w:rsid w:val="00963C3A"/>
    <w:rsid w:val="00963C98"/>
    <w:rsid w:val="00963F03"/>
    <w:rsid w:val="009640E5"/>
    <w:rsid w:val="00964166"/>
    <w:rsid w:val="0096472F"/>
    <w:rsid w:val="009650EF"/>
    <w:rsid w:val="009651F7"/>
    <w:rsid w:val="009652F3"/>
    <w:rsid w:val="009656D5"/>
    <w:rsid w:val="009663AF"/>
    <w:rsid w:val="0096645A"/>
    <w:rsid w:val="00966968"/>
    <w:rsid w:val="00966C17"/>
    <w:rsid w:val="00966F34"/>
    <w:rsid w:val="009672C9"/>
    <w:rsid w:val="00967570"/>
    <w:rsid w:val="0096770A"/>
    <w:rsid w:val="00970154"/>
    <w:rsid w:val="009704EF"/>
    <w:rsid w:val="0097080E"/>
    <w:rsid w:val="00970DBE"/>
    <w:rsid w:val="00971596"/>
    <w:rsid w:val="00971B48"/>
    <w:rsid w:val="00971C73"/>
    <w:rsid w:val="00972C81"/>
    <w:rsid w:val="00972F67"/>
    <w:rsid w:val="0097353B"/>
    <w:rsid w:val="009740AF"/>
    <w:rsid w:val="00974896"/>
    <w:rsid w:val="00975538"/>
    <w:rsid w:val="009755FA"/>
    <w:rsid w:val="009759FE"/>
    <w:rsid w:val="00975CEA"/>
    <w:rsid w:val="00976B55"/>
    <w:rsid w:val="00976C38"/>
    <w:rsid w:val="00977B6D"/>
    <w:rsid w:val="009804B2"/>
    <w:rsid w:val="00980692"/>
    <w:rsid w:val="00981A1F"/>
    <w:rsid w:val="009820EB"/>
    <w:rsid w:val="009822FE"/>
    <w:rsid w:val="00982C77"/>
    <w:rsid w:val="00983251"/>
    <w:rsid w:val="009836D9"/>
    <w:rsid w:val="009836FE"/>
    <w:rsid w:val="00983F9C"/>
    <w:rsid w:val="0098483C"/>
    <w:rsid w:val="00984DD9"/>
    <w:rsid w:val="00985068"/>
    <w:rsid w:val="0098632D"/>
    <w:rsid w:val="0098642B"/>
    <w:rsid w:val="009869D0"/>
    <w:rsid w:val="00987A1A"/>
    <w:rsid w:val="00987A34"/>
    <w:rsid w:val="00987D7E"/>
    <w:rsid w:val="00987F7C"/>
    <w:rsid w:val="0099006C"/>
    <w:rsid w:val="009906B0"/>
    <w:rsid w:val="009908C3"/>
    <w:rsid w:val="00990D84"/>
    <w:rsid w:val="0099125C"/>
    <w:rsid w:val="009914EF"/>
    <w:rsid w:val="0099171A"/>
    <w:rsid w:val="00991884"/>
    <w:rsid w:val="00991C1F"/>
    <w:rsid w:val="00991C7C"/>
    <w:rsid w:val="009923CC"/>
    <w:rsid w:val="00992CA5"/>
    <w:rsid w:val="00992D62"/>
    <w:rsid w:val="00993105"/>
    <w:rsid w:val="009932E5"/>
    <w:rsid w:val="0099399E"/>
    <w:rsid w:val="00993B5C"/>
    <w:rsid w:val="00994196"/>
    <w:rsid w:val="00994349"/>
    <w:rsid w:val="00995026"/>
    <w:rsid w:val="0099503D"/>
    <w:rsid w:val="0099514F"/>
    <w:rsid w:val="00995A96"/>
    <w:rsid w:val="00995D8B"/>
    <w:rsid w:val="00996725"/>
    <w:rsid w:val="009978E9"/>
    <w:rsid w:val="009A013C"/>
    <w:rsid w:val="009A0B35"/>
    <w:rsid w:val="009A0C17"/>
    <w:rsid w:val="009A0DDB"/>
    <w:rsid w:val="009A1053"/>
    <w:rsid w:val="009A1CF9"/>
    <w:rsid w:val="009A1E21"/>
    <w:rsid w:val="009A1E4A"/>
    <w:rsid w:val="009A1FF8"/>
    <w:rsid w:val="009A32C0"/>
    <w:rsid w:val="009A3770"/>
    <w:rsid w:val="009A3928"/>
    <w:rsid w:val="009A4715"/>
    <w:rsid w:val="009A486E"/>
    <w:rsid w:val="009A4FBB"/>
    <w:rsid w:val="009A56EB"/>
    <w:rsid w:val="009A5A06"/>
    <w:rsid w:val="009A5AFA"/>
    <w:rsid w:val="009A5C99"/>
    <w:rsid w:val="009A6318"/>
    <w:rsid w:val="009A662B"/>
    <w:rsid w:val="009A7080"/>
    <w:rsid w:val="009A7E4A"/>
    <w:rsid w:val="009B03E5"/>
    <w:rsid w:val="009B0806"/>
    <w:rsid w:val="009B0ED1"/>
    <w:rsid w:val="009B17EF"/>
    <w:rsid w:val="009B1906"/>
    <w:rsid w:val="009B1916"/>
    <w:rsid w:val="009B2072"/>
    <w:rsid w:val="009B2338"/>
    <w:rsid w:val="009B28FE"/>
    <w:rsid w:val="009B2BAA"/>
    <w:rsid w:val="009B2D3B"/>
    <w:rsid w:val="009B2DF2"/>
    <w:rsid w:val="009B4225"/>
    <w:rsid w:val="009B501E"/>
    <w:rsid w:val="009B5772"/>
    <w:rsid w:val="009B5884"/>
    <w:rsid w:val="009B5F88"/>
    <w:rsid w:val="009B5F9A"/>
    <w:rsid w:val="009B65EC"/>
    <w:rsid w:val="009B70A9"/>
    <w:rsid w:val="009B7656"/>
    <w:rsid w:val="009B79AC"/>
    <w:rsid w:val="009C00B0"/>
    <w:rsid w:val="009C0782"/>
    <w:rsid w:val="009C0A8A"/>
    <w:rsid w:val="009C0B8C"/>
    <w:rsid w:val="009C0EC9"/>
    <w:rsid w:val="009C1045"/>
    <w:rsid w:val="009C11A1"/>
    <w:rsid w:val="009C39C3"/>
    <w:rsid w:val="009C4030"/>
    <w:rsid w:val="009C4B6C"/>
    <w:rsid w:val="009C519C"/>
    <w:rsid w:val="009C581C"/>
    <w:rsid w:val="009C6489"/>
    <w:rsid w:val="009C6F91"/>
    <w:rsid w:val="009C7A5C"/>
    <w:rsid w:val="009C7C34"/>
    <w:rsid w:val="009D180C"/>
    <w:rsid w:val="009D2070"/>
    <w:rsid w:val="009D2349"/>
    <w:rsid w:val="009D2698"/>
    <w:rsid w:val="009D30C3"/>
    <w:rsid w:val="009D373F"/>
    <w:rsid w:val="009D3BFF"/>
    <w:rsid w:val="009D3D92"/>
    <w:rsid w:val="009D423A"/>
    <w:rsid w:val="009D449D"/>
    <w:rsid w:val="009D4B1C"/>
    <w:rsid w:val="009D4C24"/>
    <w:rsid w:val="009D51CB"/>
    <w:rsid w:val="009D5473"/>
    <w:rsid w:val="009D5858"/>
    <w:rsid w:val="009D596D"/>
    <w:rsid w:val="009D5C26"/>
    <w:rsid w:val="009D5E1B"/>
    <w:rsid w:val="009D5E89"/>
    <w:rsid w:val="009D6A11"/>
    <w:rsid w:val="009D75B1"/>
    <w:rsid w:val="009D7624"/>
    <w:rsid w:val="009D777F"/>
    <w:rsid w:val="009D7CFB"/>
    <w:rsid w:val="009D7E38"/>
    <w:rsid w:val="009E06D5"/>
    <w:rsid w:val="009E0CDC"/>
    <w:rsid w:val="009E0EC7"/>
    <w:rsid w:val="009E0F57"/>
    <w:rsid w:val="009E0F63"/>
    <w:rsid w:val="009E10E1"/>
    <w:rsid w:val="009E1209"/>
    <w:rsid w:val="009E14E8"/>
    <w:rsid w:val="009E1610"/>
    <w:rsid w:val="009E1C4B"/>
    <w:rsid w:val="009E2552"/>
    <w:rsid w:val="009E29C2"/>
    <w:rsid w:val="009E3249"/>
    <w:rsid w:val="009E37E2"/>
    <w:rsid w:val="009E5912"/>
    <w:rsid w:val="009E5928"/>
    <w:rsid w:val="009E5D3E"/>
    <w:rsid w:val="009E669A"/>
    <w:rsid w:val="009E6C1D"/>
    <w:rsid w:val="009E714D"/>
    <w:rsid w:val="009E77A3"/>
    <w:rsid w:val="009F06BB"/>
    <w:rsid w:val="009F0BB6"/>
    <w:rsid w:val="009F1155"/>
    <w:rsid w:val="009F1BC1"/>
    <w:rsid w:val="009F1DAB"/>
    <w:rsid w:val="009F1E92"/>
    <w:rsid w:val="009F26A6"/>
    <w:rsid w:val="009F2A3F"/>
    <w:rsid w:val="009F36B2"/>
    <w:rsid w:val="009F3811"/>
    <w:rsid w:val="009F3825"/>
    <w:rsid w:val="009F393E"/>
    <w:rsid w:val="009F4131"/>
    <w:rsid w:val="009F41F8"/>
    <w:rsid w:val="009F458B"/>
    <w:rsid w:val="009F48A3"/>
    <w:rsid w:val="009F4AE3"/>
    <w:rsid w:val="009F4C42"/>
    <w:rsid w:val="009F516A"/>
    <w:rsid w:val="009F541A"/>
    <w:rsid w:val="009F6467"/>
    <w:rsid w:val="009F649E"/>
    <w:rsid w:val="009F6BED"/>
    <w:rsid w:val="009F6DF0"/>
    <w:rsid w:val="009F70DD"/>
    <w:rsid w:val="009F748D"/>
    <w:rsid w:val="009F74A3"/>
    <w:rsid w:val="009F75FF"/>
    <w:rsid w:val="009F7C2E"/>
    <w:rsid w:val="00A009A3"/>
    <w:rsid w:val="00A00FAC"/>
    <w:rsid w:val="00A01769"/>
    <w:rsid w:val="00A01901"/>
    <w:rsid w:val="00A024FA"/>
    <w:rsid w:val="00A02B37"/>
    <w:rsid w:val="00A03D44"/>
    <w:rsid w:val="00A040FA"/>
    <w:rsid w:val="00A0481C"/>
    <w:rsid w:val="00A04DA5"/>
    <w:rsid w:val="00A055FA"/>
    <w:rsid w:val="00A057ED"/>
    <w:rsid w:val="00A05E60"/>
    <w:rsid w:val="00A05E72"/>
    <w:rsid w:val="00A06113"/>
    <w:rsid w:val="00A07169"/>
    <w:rsid w:val="00A07CC9"/>
    <w:rsid w:val="00A11051"/>
    <w:rsid w:val="00A114E1"/>
    <w:rsid w:val="00A11CA9"/>
    <w:rsid w:val="00A11F12"/>
    <w:rsid w:val="00A12551"/>
    <w:rsid w:val="00A12AC6"/>
    <w:rsid w:val="00A12D1B"/>
    <w:rsid w:val="00A12E67"/>
    <w:rsid w:val="00A12FD0"/>
    <w:rsid w:val="00A13361"/>
    <w:rsid w:val="00A13A82"/>
    <w:rsid w:val="00A13CEC"/>
    <w:rsid w:val="00A1451D"/>
    <w:rsid w:val="00A152BE"/>
    <w:rsid w:val="00A15708"/>
    <w:rsid w:val="00A1581E"/>
    <w:rsid w:val="00A160FB"/>
    <w:rsid w:val="00A16510"/>
    <w:rsid w:val="00A1686B"/>
    <w:rsid w:val="00A16B46"/>
    <w:rsid w:val="00A16B61"/>
    <w:rsid w:val="00A205C7"/>
    <w:rsid w:val="00A205C8"/>
    <w:rsid w:val="00A207C2"/>
    <w:rsid w:val="00A20995"/>
    <w:rsid w:val="00A21881"/>
    <w:rsid w:val="00A21E80"/>
    <w:rsid w:val="00A222B9"/>
    <w:rsid w:val="00A22977"/>
    <w:rsid w:val="00A229EF"/>
    <w:rsid w:val="00A2303F"/>
    <w:rsid w:val="00A23BAA"/>
    <w:rsid w:val="00A24282"/>
    <w:rsid w:val="00A24FC2"/>
    <w:rsid w:val="00A25D49"/>
    <w:rsid w:val="00A2639D"/>
    <w:rsid w:val="00A267AE"/>
    <w:rsid w:val="00A26A30"/>
    <w:rsid w:val="00A26CFC"/>
    <w:rsid w:val="00A26FA2"/>
    <w:rsid w:val="00A2777E"/>
    <w:rsid w:val="00A27CAC"/>
    <w:rsid w:val="00A27CCF"/>
    <w:rsid w:val="00A30355"/>
    <w:rsid w:val="00A3100D"/>
    <w:rsid w:val="00A31773"/>
    <w:rsid w:val="00A32893"/>
    <w:rsid w:val="00A32E9C"/>
    <w:rsid w:val="00A337CB"/>
    <w:rsid w:val="00A33ABD"/>
    <w:rsid w:val="00A33CBC"/>
    <w:rsid w:val="00A33EBC"/>
    <w:rsid w:val="00A3508B"/>
    <w:rsid w:val="00A35746"/>
    <w:rsid w:val="00A359DD"/>
    <w:rsid w:val="00A35AFF"/>
    <w:rsid w:val="00A35B2B"/>
    <w:rsid w:val="00A35BD7"/>
    <w:rsid w:val="00A35C36"/>
    <w:rsid w:val="00A35D6D"/>
    <w:rsid w:val="00A3620E"/>
    <w:rsid w:val="00A36AFB"/>
    <w:rsid w:val="00A36FDE"/>
    <w:rsid w:val="00A37B43"/>
    <w:rsid w:val="00A403AB"/>
    <w:rsid w:val="00A404D0"/>
    <w:rsid w:val="00A4067C"/>
    <w:rsid w:val="00A40E21"/>
    <w:rsid w:val="00A4106C"/>
    <w:rsid w:val="00A414F7"/>
    <w:rsid w:val="00A41C2A"/>
    <w:rsid w:val="00A420D7"/>
    <w:rsid w:val="00A42271"/>
    <w:rsid w:val="00A42ACE"/>
    <w:rsid w:val="00A43A45"/>
    <w:rsid w:val="00A43F16"/>
    <w:rsid w:val="00A43FED"/>
    <w:rsid w:val="00A44CEF"/>
    <w:rsid w:val="00A456E9"/>
    <w:rsid w:val="00A4614E"/>
    <w:rsid w:val="00A46284"/>
    <w:rsid w:val="00A46A2A"/>
    <w:rsid w:val="00A47D86"/>
    <w:rsid w:val="00A501BA"/>
    <w:rsid w:val="00A50319"/>
    <w:rsid w:val="00A51C06"/>
    <w:rsid w:val="00A525E7"/>
    <w:rsid w:val="00A5267D"/>
    <w:rsid w:val="00A5367E"/>
    <w:rsid w:val="00A53BDE"/>
    <w:rsid w:val="00A54464"/>
    <w:rsid w:val="00A54668"/>
    <w:rsid w:val="00A54C38"/>
    <w:rsid w:val="00A54F6E"/>
    <w:rsid w:val="00A5503A"/>
    <w:rsid w:val="00A551FB"/>
    <w:rsid w:val="00A552EB"/>
    <w:rsid w:val="00A554A6"/>
    <w:rsid w:val="00A554C6"/>
    <w:rsid w:val="00A55A8E"/>
    <w:rsid w:val="00A56685"/>
    <w:rsid w:val="00A574B2"/>
    <w:rsid w:val="00A605E0"/>
    <w:rsid w:val="00A606FC"/>
    <w:rsid w:val="00A614CD"/>
    <w:rsid w:val="00A61A12"/>
    <w:rsid w:val="00A636F8"/>
    <w:rsid w:val="00A63A44"/>
    <w:rsid w:val="00A63DB2"/>
    <w:rsid w:val="00A6433D"/>
    <w:rsid w:val="00A64C98"/>
    <w:rsid w:val="00A6508B"/>
    <w:rsid w:val="00A659E1"/>
    <w:rsid w:val="00A65BA2"/>
    <w:rsid w:val="00A66E68"/>
    <w:rsid w:val="00A67034"/>
    <w:rsid w:val="00A670D0"/>
    <w:rsid w:val="00A67297"/>
    <w:rsid w:val="00A67817"/>
    <w:rsid w:val="00A678F1"/>
    <w:rsid w:val="00A67F8C"/>
    <w:rsid w:val="00A7009A"/>
    <w:rsid w:val="00A7050E"/>
    <w:rsid w:val="00A70C58"/>
    <w:rsid w:val="00A71877"/>
    <w:rsid w:val="00A71969"/>
    <w:rsid w:val="00A71C6A"/>
    <w:rsid w:val="00A72099"/>
    <w:rsid w:val="00A722E2"/>
    <w:rsid w:val="00A72414"/>
    <w:rsid w:val="00A7250D"/>
    <w:rsid w:val="00A72AC0"/>
    <w:rsid w:val="00A73062"/>
    <w:rsid w:val="00A73884"/>
    <w:rsid w:val="00A73C7D"/>
    <w:rsid w:val="00A74114"/>
    <w:rsid w:val="00A74892"/>
    <w:rsid w:val="00A74A6A"/>
    <w:rsid w:val="00A74CBD"/>
    <w:rsid w:val="00A74CEC"/>
    <w:rsid w:val="00A7509F"/>
    <w:rsid w:val="00A7538E"/>
    <w:rsid w:val="00A75A3D"/>
    <w:rsid w:val="00A7606B"/>
    <w:rsid w:val="00A770E2"/>
    <w:rsid w:val="00A77FDE"/>
    <w:rsid w:val="00A80394"/>
    <w:rsid w:val="00A8058D"/>
    <w:rsid w:val="00A809E3"/>
    <w:rsid w:val="00A80C6A"/>
    <w:rsid w:val="00A80D02"/>
    <w:rsid w:val="00A81754"/>
    <w:rsid w:val="00A81FA6"/>
    <w:rsid w:val="00A828F9"/>
    <w:rsid w:val="00A82A18"/>
    <w:rsid w:val="00A82CD7"/>
    <w:rsid w:val="00A83311"/>
    <w:rsid w:val="00A83460"/>
    <w:rsid w:val="00A84968"/>
    <w:rsid w:val="00A85496"/>
    <w:rsid w:val="00A85957"/>
    <w:rsid w:val="00A86EF0"/>
    <w:rsid w:val="00A87DEE"/>
    <w:rsid w:val="00A87F67"/>
    <w:rsid w:val="00A90253"/>
    <w:rsid w:val="00A905C6"/>
    <w:rsid w:val="00A914A6"/>
    <w:rsid w:val="00A919FC"/>
    <w:rsid w:val="00A920EB"/>
    <w:rsid w:val="00A92D74"/>
    <w:rsid w:val="00A9358E"/>
    <w:rsid w:val="00A93715"/>
    <w:rsid w:val="00A938CC"/>
    <w:rsid w:val="00A94554"/>
    <w:rsid w:val="00A949C0"/>
    <w:rsid w:val="00A94D02"/>
    <w:rsid w:val="00A950EF"/>
    <w:rsid w:val="00A952C0"/>
    <w:rsid w:val="00A95757"/>
    <w:rsid w:val="00A959FB"/>
    <w:rsid w:val="00A95AC5"/>
    <w:rsid w:val="00A9660B"/>
    <w:rsid w:val="00A967BF"/>
    <w:rsid w:val="00A96C25"/>
    <w:rsid w:val="00A96C5E"/>
    <w:rsid w:val="00A9707D"/>
    <w:rsid w:val="00A97A16"/>
    <w:rsid w:val="00A97F76"/>
    <w:rsid w:val="00AA04A0"/>
    <w:rsid w:val="00AA09C9"/>
    <w:rsid w:val="00AA1151"/>
    <w:rsid w:val="00AA12DB"/>
    <w:rsid w:val="00AA232A"/>
    <w:rsid w:val="00AA253D"/>
    <w:rsid w:val="00AA2668"/>
    <w:rsid w:val="00AA2758"/>
    <w:rsid w:val="00AA2E6F"/>
    <w:rsid w:val="00AA2EB6"/>
    <w:rsid w:val="00AA35D1"/>
    <w:rsid w:val="00AA3CE8"/>
    <w:rsid w:val="00AA470F"/>
    <w:rsid w:val="00AA5201"/>
    <w:rsid w:val="00AA5509"/>
    <w:rsid w:val="00AA576F"/>
    <w:rsid w:val="00AA5DD6"/>
    <w:rsid w:val="00AA5F50"/>
    <w:rsid w:val="00AA6BAE"/>
    <w:rsid w:val="00AA6BE0"/>
    <w:rsid w:val="00AA7181"/>
    <w:rsid w:val="00AA768F"/>
    <w:rsid w:val="00AA785A"/>
    <w:rsid w:val="00AA7A0B"/>
    <w:rsid w:val="00AB0145"/>
    <w:rsid w:val="00AB03DF"/>
    <w:rsid w:val="00AB101C"/>
    <w:rsid w:val="00AB1528"/>
    <w:rsid w:val="00AB15BA"/>
    <w:rsid w:val="00AB181A"/>
    <w:rsid w:val="00AB1AE0"/>
    <w:rsid w:val="00AB1C6E"/>
    <w:rsid w:val="00AB2247"/>
    <w:rsid w:val="00AB2393"/>
    <w:rsid w:val="00AB280F"/>
    <w:rsid w:val="00AB291D"/>
    <w:rsid w:val="00AB2C0E"/>
    <w:rsid w:val="00AB3CAF"/>
    <w:rsid w:val="00AB415C"/>
    <w:rsid w:val="00AB4414"/>
    <w:rsid w:val="00AB51D6"/>
    <w:rsid w:val="00AB57D8"/>
    <w:rsid w:val="00AB5813"/>
    <w:rsid w:val="00AB5AE7"/>
    <w:rsid w:val="00AB5C26"/>
    <w:rsid w:val="00AB62AB"/>
    <w:rsid w:val="00AB651D"/>
    <w:rsid w:val="00AB6B8D"/>
    <w:rsid w:val="00AB7262"/>
    <w:rsid w:val="00AB72AB"/>
    <w:rsid w:val="00AB7383"/>
    <w:rsid w:val="00AB7A9F"/>
    <w:rsid w:val="00AB7D63"/>
    <w:rsid w:val="00AC0AE4"/>
    <w:rsid w:val="00AC11B9"/>
    <w:rsid w:val="00AC1FCE"/>
    <w:rsid w:val="00AC2078"/>
    <w:rsid w:val="00AC3280"/>
    <w:rsid w:val="00AC3550"/>
    <w:rsid w:val="00AC3DA9"/>
    <w:rsid w:val="00AC59F3"/>
    <w:rsid w:val="00AC5BFF"/>
    <w:rsid w:val="00AC65A7"/>
    <w:rsid w:val="00AC6884"/>
    <w:rsid w:val="00AC6D91"/>
    <w:rsid w:val="00AC6F78"/>
    <w:rsid w:val="00AC7006"/>
    <w:rsid w:val="00AC72F8"/>
    <w:rsid w:val="00AC7BBB"/>
    <w:rsid w:val="00AC7D28"/>
    <w:rsid w:val="00AD031E"/>
    <w:rsid w:val="00AD0394"/>
    <w:rsid w:val="00AD184F"/>
    <w:rsid w:val="00AD2650"/>
    <w:rsid w:val="00AD28BB"/>
    <w:rsid w:val="00AD2E4E"/>
    <w:rsid w:val="00AD2F0E"/>
    <w:rsid w:val="00AD43F3"/>
    <w:rsid w:val="00AD44C3"/>
    <w:rsid w:val="00AD48B7"/>
    <w:rsid w:val="00AD517A"/>
    <w:rsid w:val="00AD54F7"/>
    <w:rsid w:val="00AD56DD"/>
    <w:rsid w:val="00AD5914"/>
    <w:rsid w:val="00AD5C13"/>
    <w:rsid w:val="00AD5EA6"/>
    <w:rsid w:val="00AD5ED1"/>
    <w:rsid w:val="00AD5F3F"/>
    <w:rsid w:val="00AD64DE"/>
    <w:rsid w:val="00AD66D4"/>
    <w:rsid w:val="00AD6790"/>
    <w:rsid w:val="00AD694F"/>
    <w:rsid w:val="00AD6CEE"/>
    <w:rsid w:val="00AD77AC"/>
    <w:rsid w:val="00AD77E2"/>
    <w:rsid w:val="00AD788D"/>
    <w:rsid w:val="00AD7C30"/>
    <w:rsid w:val="00AE048D"/>
    <w:rsid w:val="00AE165E"/>
    <w:rsid w:val="00AE17B9"/>
    <w:rsid w:val="00AE1F97"/>
    <w:rsid w:val="00AE2064"/>
    <w:rsid w:val="00AE23BE"/>
    <w:rsid w:val="00AE297A"/>
    <w:rsid w:val="00AE29FD"/>
    <w:rsid w:val="00AE31F2"/>
    <w:rsid w:val="00AE3909"/>
    <w:rsid w:val="00AE3BB2"/>
    <w:rsid w:val="00AE3C9B"/>
    <w:rsid w:val="00AE52E3"/>
    <w:rsid w:val="00AE56ED"/>
    <w:rsid w:val="00AE6553"/>
    <w:rsid w:val="00AE6E26"/>
    <w:rsid w:val="00AE6EDB"/>
    <w:rsid w:val="00AE6F30"/>
    <w:rsid w:val="00AE74C1"/>
    <w:rsid w:val="00AE7686"/>
    <w:rsid w:val="00AF0356"/>
    <w:rsid w:val="00AF06B0"/>
    <w:rsid w:val="00AF12C0"/>
    <w:rsid w:val="00AF2244"/>
    <w:rsid w:val="00AF26D5"/>
    <w:rsid w:val="00AF2717"/>
    <w:rsid w:val="00AF2CD9"/>
    <w:rsid w:val="00AF2E3B"/>
    <w:rsid w:val="00AF386D"/>
    <w:rsid w:val="00AF3A27"/>
    <w:rsid w:val="00AF48ED"/>
    <w:rsid w:val="00AF63D2"/>
    <w:rsid w:val="00AF695F"/>
    <w:rsid w:val="00AF6E04"/>
    <w:rsid w:val="00AF727C"/>
    <w:rsid w:val="00AF7503"/>
    <w:rsid w:val="00AF7A65"/>
    <w:rsid w:val="00B0014D"/>
    <w:rsid w:val="00B0053A"/>
    <w:rsid w:val="00B0088B"/>
    <w:rsid w:val="00B00A72"/>
    <w:rsid w:val="00B01DE5"/>
    <w:rsid w:val="00B02176"/>
    <w:rsid w:val="00B026E8"/>
    <w:rsid w:val="00B03292"/>
    <w:rsid w:val="00B04B7D"/>
    <w:rsid w:val="00B04C3D"/>
    <w:rsid w:val="00B0517D"/>
    <w:rsid w:val="00B05AD5"/>
    <w:rsid w:val="00B06B07"/>
    <w:rsid w:val="00B0706C"/>
    <w:rsid w:val="00B074F5"/>
    <w:rsid w:val="00B078FE"/>
    <w:rsid w:val="00B07C37"/>
    <w:rsid w:val="00B10707"/>
    <w:rsid w:val="00B11AC3"/>
    <w:rsid w:val="00B12342"/>
    <w:rsid w:val="00B12488"/>
    <w:rsid w:val="00B12C38"/>
    <w:rsid w:val="00B1305F"/>
    <w:rsid w:val="00B1345F"/>
    <w:rsid w:val="00B1353D"/>
    <w:rsid w:val="00B14165"/>
    <w:rsid w:val="00B14770"/>
    <w:rsid w:val="00B14CFC"/>
    <w:rsid w:val="00B15232"/>
    <w:rsid w:val="00B1628F"/>
    <w:rsid w:val="00B168CC"/>
    <w:rsid w:val="00B16B50"/>
    <w:rsid w:val="00B16C26"/>
    <w:rsid w:val="00B17336"/>
    <w:rsid w:val="00B1763A"/>
    <w:rsid w:val="00B177DF"/>
    <w:rsid w:val="00B178C5"/>
    <w:rsid w:val="00B17E06"/>
    <w:rsid w:val="00B200AF"/>
    <w:rsid w:val="00B20144"/>
    <w:rsid w:val="00B2015F"/>
    <w:rsid w:val="00B206DE"/>
    <w:rsid w:val="00B20778"/>
    <w:rsid w:val="00B20A18"/>
    <w:rsid w:val="00B20CA4"/>
    <w:rsid w:val="00B21228"/>
    <w:rsid w:val="00B2157B"/>
    <w:rsid w:val="00B21794"/>
    <w:rsid w:val="00B21E4D"/>
    <w:rsid w:val="00B232EB"/>
    <w:rsid w:val="00B2338C"/>
    <w:rsid w:val="00B23536"/>
    <w:rsid w:val="00B246D6"/>
    <w:rsid w:val="00B24A13"/>
    <w:rsid w:val="00B24DD4"/>
    <w:rsid w:val="00B24EC9"/>
    <w:rsid w:val="00B250E0"/>
    <w:rsid w:val="00B25682"/>
    <w:rsid w:val="00B2582F"/>
    <w:rsid w:val="00B25FD6"/>
    <w:rsid w:val="00B2608D"/>
    <w:rsid w:val="00B260A3"/>
    <w:rsid w:val="00B262EC"/>
    <w:rsid w:val="00B2643D"/>
    <w:rsid w:val="00B26605"/>
    <w:rsid w:val="00B2731B"/>
    <w:rsid w:val="00B27902"/>
    <w:rsid w:val="00B3007A"/>
    <w:rsid w:val="00B305A4"/>
    <w:rsid w:val="00B30841"/>
    <w:rsid w:val="00B30D89"/>
    <w:rsid w:val="00B30F47"/>
    <w:rsid w:val="00B310AA"/>
    <w:rsid w:val="00B3138E"/>
    <w:rsid w:val="00B3138F"/>
    <w:rsid w:val="00B31B0F"/>
    <w:rsid w:val="00B31E2D"/>
    <w:rsid w:val="00B31F2A"/>
    <w:rsid w:val="00B32544"/>
    <w:rsid w:val="00B33E8F"/>
    <w:rsid w:val="00B33ED9"/>
    <w:rsid w:val="00B341FB"/>
    <w:rsid w:val="00B342B9"/>
    <w:rsid w:val="00B350F6"/>
    <w:rsid w:val="00B35257"/>
    <w:rsid w:val="00B354F5"/>
    <w:rsid w:val="00B356D4"/>
    <w:rsid w:val="00B36105"/>
    <w:rsid w:val="00B36210"/>
    <w:rsid w:val="00B36441"/>
    <w:rsid w:val="00B36C59"/>
    <w:rsid w:val="00B371A0"/>
    <w:rsid w:val="00B371CD"/>
    <w:rsid w:val="00B373F3"/>
    <w:rsid w:val="00B374C4"/>
    <w:rsid w:val="00B37DEC"/>
    <w:rsid w:val="00B40DB2"/>
    <w:rsid w:val="00B40EB8"/>
    <w:rsid w:val="00B41271"/>
    <w:rsid w:val="00B412CD"/>
    <w:rsid w:val="00B4151B"/>
    <w:rsid w:val="00B41CD0"/>
    <w:rsid w:val="00B425E5"/>
    <w:rsid w:val="00B42BC2"/>
    <w:rsid w:val="00B44A74"/>
    <w:rsid w:val="00B44DEF"/>
    <w:rsid w:val="00B450D8"/>
    <w:rsid w:val="00B45102"/>
    <w:rsid w:val="00B456B4"/>
    <w:rsid w:val="00B457C5"/>
    <w:rsid w:val="00B465C4"/>
    <w:rsid w:val="00B466FD"/>
    <w:rsid w:val="00B46A00"/>
    <w:rsid w:val="00B46B9D"/>
    <w:rsid w:val="00B46FCD"/>
    <w:rsid w:val="00B502B7"/>
    <w:rsid w:val="00B50CB2"/>
    <w:rsid w:val="00B51351"/>
    <w:rsid w:val="00B513F0"/>
    <w:rsid w:val="00B51800"/>
    <w:rsid w:val="00B51D8A"/>
    <w:rsid w:val="00B527F7"/>
    <w:rsid w:val="00B52BEB"/>
    <w:rsid w:val="00B5314A"/>
    <w:rsid w:val="00B531F1"/>
    <w:rsid w:val="00B53DFE"/>
    <w:rsid w:val="00B53E6A"/>
    <w:rsid w:val="00B54113"/>
    <w:rsid w:val="00B552CD"/>
    <w:rsid w:val="00B553BE"/>
    <w:rsid w:val="00B5609A"/>
    <w:rsid w:val="00B56169"/>
    <w:rsid w:val="00B5704B"/>
    <w:rsid w:val="00B57432"/>
    <w:rsid w:val="00B57510"/>
    <w:rsid w:val="00B57511"/>
    <w:rsid w:val="00B577BD"/>
    <w:rsid w:val="00B57802"/>
    <w:rsid w:val="00B57B41"/>
    <w:rsid w:val="00B57EE7"/>
    <w:rsid w:val="00B57F11"/>
    <w:rsid w:val="00B57F9C"/>
    <w:rsid w:val="00B60401"/>
    <w:rsid w:val="00B60608"/>
    <w:rsid w:val="00B60F0E"/>
    <w:rsid w:val="00B623D7"/>
    <w:rsid w:val="00B625E7"/>
    <w:rsid w:val="00B62A7B"/>
    <w:rsid w:val="00B62DA8"/>
    <w:rsid w:val="00B63241"/>
    <w:rsid w:val="00B632B8"/>
    <w:rsid w:val="00B6332D"/>
    <w:rsid w:val="00B63616"/>
    <w:rsid w:val="00B64A48"/>
    <w:rsid w:val="00B64A5D"/>
    <w:rsid w:val="00B64EC7"/>
    <w:rsid w:val="00B64F65"/>
    <w:rsid w:val="00B6506D"/>
    <w:rsid w:val="00B65C0C"/>
    <w:rsid w:val="00B660D1"/>
    <w:rsid w:val="00B660EB"/>
    <w:rsid w:val="00B6612A"/>
    <w:rsid w:val="00B66467"/>
    <w:rsid w:val="00B67333"/>
    <w:rsid w:val="00B67D13"/>
    <w:rsid w:val="00B7158E"/>
    <w:rsid w:val="00B718E9"/>
    <w:rsid w:val="00B71E9A"/>
    <w:rsid w:val="00B722B3"/>
    <w:rsid w:val="00B725DF"/>
    <w:rsid w:val="00B733F3"/>
    <w:rsid w:val="00B73769"/>
    <w:rsid w:val="00B744A1"/>
    <w:rsid w:val="00B745FE"/>
    <w:rsid w:val="00B74955"/>
    <w:rsid w:val="00B74B33"/>
    <w:rsid w:val="00B75844"/>
    <w:rsid w:val="00B75DB4"/>
    <w:rsid w:val="00B75F7A"/>
    <w:rsid w:val="00B77928"/>
    <w:rsid w:val="00B803D6"/>
    <w:rsid w:val="00B805F3"/>
    <w:rsid w:val="00B80981"/>
    <w:rsid w:val="00B81428"/>
    <w:rsid w:val="00B81453"/>
    <w:rsid w:val="00B82257"/>
    <w:rsid w:val="00B82745"/>
    <w:rsid w:val="00B8297C"/>
    <w:rsid w:val="00B839D8"/>
    <w:rsid w:val="00B83BFE"/>
    <w:rsid w:val="00B83C97"/>
    <w:rsid w:val="00B844DE"/>
    <w:rsid w:val="00B84CE8"/>
    <w:rsid w:val="00B8562C"/>
    <w:rsid w:val="00B85A88"/>
    <w:rsid w:val="00B85AC7"/>
    <w:rsid w:val="00B85BA8"/>
    <w:rsid w:val="00B85EAA"/>
    <w:rsid w:val="00B868EB"/>
    <w:rsid w:val="00B869C7"/>
    <w:rsid w:val="00B873AB"/>
    <w:rsid w:val="00B87D0F"/>
    <w:rsid w:val="00B87DF8"/>
    <w:rsid w:val="00B90EED"/>
    <w:rsid w:val="00B911A5"/>
    <w:rsid w:val="00B912FE"/>
    <w:rsid w:val="00B91F1B"/>
    <w:rsid w:val="00B92C11"/>
    <w:rsid w:val="00B93B36"/>
    <w:rsid w:val="00B95118"/>
    <w:rsid w:val="00B95371"/>
    <w:rsid w:val="00B95ACF"/>
    <w:rsid w:val="00B96029"/>
    <w:rsid w:val="00B9651B"/>
    <w:rsid w:val="00B9719B"/>
    <w:rsid w:val="00B974B3"/>
    <w:rsid w:val="00BA05EE"/>
    <w:rsid w:val="00BA0E77"/>
    <w:rsid w:val="00BA17B4"/>
    <w:rsid w:val="00BA2539"/>
    <w:rsid w:val="00BA29D1"/>
    <w:rsid w:val="00BA30B2"/>
    <w:rsid w:val="00BA30CB"/>
    <w:rsid w:val="00BA32B5"/>
    <w:rsid w:val="00BA3E0D"/>
    <w:rsid w:val="00BA3F21"/>
    <w:rsid w:val="00BA3F26"/>
    <w:rsid w:val="00BA6382"/>
    <w:rsid w:val="00BA63CF"/>
    <w:rsid w:val="00BA6875"/>
    <w:rsid w:val="00BA6D3D"/>
    <w:rsid w:val="00BA6DD5"/>
    <w:rsid w:val="00BB073F"/>
    <w:rsid w:val="00BB0BB8"/>
    <w:rsid w:val="00BB0BEC"/>
    <w:rsid w:val="00BB1C84"/>
    <w:rsid w:val="00BB21BF"/>
    <w:rsid w:val="00BB28FE"/>
    <w:rsid w:val="00BB2987"/>
    <w:rsid w:val="00BB2AFA"/>
    <w:rsid w:val="00BB2BCF"/>
    <w:rsid w:val="00BB2FAA"/>
    <w:rsid w:val="00BB3085"/>
    <w:rsid w:val="00BB3139"/>
    <w:rsid w:val="00BB38DF"/>
    <w:rsid w:val="00BB3F29"/>
    <w:rsid w:val="00BB4057"/>
    <w:rsid w:val="00BB46F7"/>
    <w:rsid w:val="00BB4A97"/>
    <w:rsid w:val="00BB4C3C"/>
    <w:rsid w:val="00BB51BE"/>
    <w:rsid w:val="00BB58E8"/>
    <w:rsid w:val="00BB5A2D"/>
    <w:rsid w:val="00BB6472"/>
    <w:rsid w:val="00BB6D69"/>
    <w:rsid w:val="00BB732B"/>
    <w:rsid w:val="00BB740B"/>
    <w:rsid w:val="00BB7AFB"/>
    <w:rsid w:val="00BB7BEF"/>
    <w:rsid w:val="00BB7FBF"/>
    <w:rsid w:val="00BC0404"/>
    <w:rsid w:val="00BC1171"/>
    <w:rsid w:val="00BC1402"/>
    <w:rsid w:val="00BC18C8"/>
    <w:rsid w:val="00BC1CCF"/>
    <w:rsid w:val="00BC1EB8"/>
    <w:rsid w:val="00BC2203"/>
    <w:rsid w:val="00BC24E8"/>
    <w:rsid w:val="00BC25FD"/>
    <w:rsid w:val="00BC2752"/>
    <w:rsid w:val="00BC2837"/>
    <w:rsid w:val="00BC2DBE"/>
    <w:rsid w:val="00BC31BC"/>
    <w:rsid w:val="00BC409A"/>
    <w:rsid w:val="00BC457A"/>
    <w:rsid w:val="00BC4991"/>
    <w:rsid w:val="00BC4D0A"/>
    <w:rsid w:val="00BC5284"/>
    <w:rsid w:val="00BC540C"/>
    <w:rsid w:val="00BC5C86"/>
    <w:rsid w:val="00BC62DB"/>
    <w:rsid w:val="00BC6BBA"/>
    <w:rsid w:val="00BD0032"/>
    <w:rsid w:val="00BD02B6"/>
    <w:rsid w:val="00BD0540"/>
    <w:rsid w:val="00BD05AA"/>
    <w:rsid w:val="00BD0A4B"/>
    <w:rsid w:val="00BD0EE7"/>
    <w:rsid w:val="00BD0FAC"/>
    <w:rsid w:val="00BD18A5"/>
    <w:rsid w:val="00BD191B"/>
    <w:rsid w:val="00BD19E5"/>
    <w:rsid w:val="00BD1C2E"/>
    <w:rsid w:val="00BD3C48"/>
    <w:rsid w:val="00BD3DD4"/>
    <w:rsid w:val="00BD5546"/>
    <w:rsid w:val="00BD55E5"/>
    <w:rsid w:val="00BD68D8"/>
    <w:rsid w:val="00BD6FDF"/>
    <w:rsid w:val="00BD7105"/>
    <w:rsid w:val="00BD7620"/>
    <w:rsid w:val="00BD7F51"/>
    <w:rsid w:val="00BE046C"/>
    <w:rsid w:val="00BE06EE"/>
    <w:rsid w:val="00BE085F"/>
    <w:rsid w:val="00BE264C"/>
    <w:rsid w:val="00BE28F3"/>
    <w:rsid w:val="00BE2D36"/>
    <w:rsid w:val="00BE356B"/>
    <w:rsid w:val="00BE3C9B"/>
    <w:rsid w:val="00BE49CA"/>
    <w:rsid w:val="00BE4B98"/>
    <w:rsid w:val="00BE5C16"/>
    <w:rsid w:val="00BE5D87"/>
    <w:rsid w:val="00BE60EE"/>
    <w:rsid w:val="00BE636E"/>
    <w:rsid w:val="00BE6440"/>
    <w:rsid w:val="00BE736A"/>
    <w:rsid w:val="00BE797F"/>
    <w:rsid w:val="00BE7D2C"/>
    <w:rsid w:val="00BF05DF"/>
    <w:rsid w:val="00BF0720"/>
    <w:rsid w:val="00BF0DE3"/>
    <w:rsid w:val="00BF0E19"/>
    <w:rsid w:val="00BF0F8A"/>
    <w:rsid w:val="00BF0FBC"/>
    <w:rsid w:val="00BF11A2"/>
    <w:rsid w:val="00BF11D4"/>
    <w:rsid w:val="00BF1587"/>
    <w:rsid w:val="00BF15B0"/>
    <w:rsid w:val="00BF177C"/>
    <w:rsid w:val="00BF1A44"/>
    <w:rsid w:val="00BF1A98"/>
    <w:rsid w:val="00BF235F"/>
    <w:rsid w:val="00BF2780"/>
    <w:rsid w:val="00BF2FAB"/>
    <w:rsid w:val="00BF35E6"/>
    <w:rsid w:val="00BF370F"/>
    <w:rsid w:val="00BF3E9B"/>
    <w:rsid w:val="00BF3F50"/>
    <w:rsid w:val="00BF4689"/>
    <w:rsid w:val="00BF4D58"/>
    <w:rsid w:val="00BF4ECC"/>
    <w:rsid w:val="00BF5023"/>
    <w:rsid w:val="00BF502F"/>
    <w:rsid w:val="00BF5452"/>
    <w:rsid w:val="00BF62F5"/>
    <w:rsid w:val="00BF6790"/>
    <w:rsid w:val="00BF6E38"/>
    <w:rsid w:val="00BF6EB9"/>
    <w:rsid w:val="00BF7407"/>
    <w:rsid w:val="00BF7893"/>
    <w:rsid w:val="00BF7897"/>
    <w:rsid w:val="00BF7A15"/>
    <w:rsid w:val="00C0070E"/>
    <w:rsid w:val="00C01478"/>
    <w:rsid w:val="00C03295"/>
    <w:rsid w:val="00C03300"/>
    <w:rsid w:val="00C03BEE"/>
    <w:rsid w:val="00C0437F"/>
    <w:rsid w:val="00C0617D"/>
    <w:rsid w:val="00C0628B"/>
    <w:rsid w:val="00C065A9"/>
    <w:rsid w:val="00C065CE"/>
    <w:rsid w:val="00C0675E"/>
    <w:rsid w:val="00C06E02"/>
    <w:rsid w:val="00C070E0"/>
    <w:rsid w:val="00C07104"/>
    <w:rsid w:val="00C1016D"/>
    <w:rsid w:val="00C101D7"/>
    <w:rsid w:val="00C1050E"/>
    <w:rsid w:val="00C12103"/>
    <w:rsid w:val="00C124C9"/>
    <w:rsid w:val="00C127B7"/>
    <w:rsid w:val="00C13C86"/>
    <w:rsid w:val="00C14454"/>
    <w:rsid w:val="00C14ECB"/>
    <w:rsid w:val="00C14FB9"/>
    <w:rsid w:val="00C15208"/>
    <w:rsid w:val="00C159CB"/>
    <w:rsid w:val="00C173FC"/>
    <w:rsid w:val="00C20BAD"/>
    <w:rsid w:val="00C20DF6"/>
    <w:rsid w:val="00C21215"/>
    <w:rsid w:val="00C21E43"/>
    <w:rsid w:val="00C21F87"/>
    <w:rsid w:val="00C2348C"/>
    <w:rsid w:val="00C234F9"/>
    <w:rsid w:val="00C2397D"/>
    <w:rsid w:val="00C23F90"/>
    <w:rsid w:val="00C2449F"/>
    <w:rsid w:val="00C247AD"/>
    <w:rsid w:val="00C24BA4"/>
    <w:rsid w:val="00C24C60"/>
    <w:rsid w:val="00C25B84"/>
    <w:rsid w:val="00C25BD2"/>
    <w:rsid w:val="00C25F34"/>
    <w:rsid w:val="00C261DF"/>
    <w:rsid w:val="00C27313"/>
    <w:rsid w:val="00C27E2C"/>
    <w:rsid w:val="00C27E62"/>
    <w:rsid w:val="00C30057"/>
    <w:rsid w:val="00C301DF"/>
    <w:rsid w:val="00C30E14"/>
    <w:rsid w:val="00C30EBC"/>
    <w:rsid w:val="00C314A9"/>
    <w:rsid w:val="00C31E8B"/>
    <w:rsid w:val="00C3221A"/>
    <w:rsid w:val="00C327F9"/>
    <w:rsid w:val="00C3285A"/>
    <w:rsid w:val="00C32DC7"/>
    <w:rsid w:val="00C33528"/>
    <w:rsid w:val="00C337D3"/>
    <w:rsid w:val="00C3429B"/>
    <w:rsid w:val="00C352C8"/>
    <w:rsid w:val="00C356E8"/>
    <w:rsid w:val="00C3571D"/>
    <w:rsid w:val="00C35B0E"/>
    <w:rsid w:val="00C35E71"/>
    <w:rsid w:val="00C36949"/>
    <w:rsid w:val="00C370F0"/>
    <w:rsid w:val="00C37540"/>
    <w:rsid w:val="00C37C05"/>
    <w:rsid w:val="00C405CB"/>
    <w:rsid w:val="00C40AC0"/>
    <w:rsid w:val="00C40F10"/>
    <w:rsid w:val="00C4176F"/>
    <w:rsid w:val="00C417AB"/>
    <w:rsid w:val="00C42059"/>
    <w:rsid w:val="00C4226D"/>
    <w:rsid w:val="00C4286B"/>
    <w:rsid w:val="00C42A98"/>
    <w:rsid w:val="00C43080"/>
    <w:rsid w:val="00C4338A"/>
    <w:rsid w:val="00C435E7"/>
    <w:rsid w:val="00C437AC"/>
    <w:rsid w:val="00C43FCD"/>
    <w:rsid w:val="00C44A8B"/>
    <w:rsid w:val="00C44E31"/>
    <w:rsid w:val="00C45270"/>
    <w:rsid w:val="00C46128"/>
    <w:rsid w:val="00C46143"/>
    <w:rsid w:val="00C4616E"/>
    <w:rsid w:val="00C46833"/>
    <w:rsid w:val="00C46907"/>
    <w:rsid w:val="00C472FF"/>
    <w:rsid w:val="00C47664"/>
    <w:rsid w:val="00C47753"/>
    <w:rsid w:val="00C479D1"/>
    <w:rsid w:val="00C47A9F"/>
    <w:rsid w:val="00C51623"/>
    <w:rsid w:val="00C51660"/>
    <w:rsid w:val="00C51D8F"/>
    <w:rsid w:val="00C52268"/>
    <w:rsid w:val="00C523C7"/>
    <w:rsid w:val="00C5306B"/>
    <w:rsid w:val="00C53746"/>
    <w:rsid w:val="00C53794"/>
    <w:rsid w:val="00C53C20"/>
    <w:rsid w:val="00C53C31"/>
    <w:rsid w:val="00C53E61"/>
    <w:rsid w:val="00C542C1"/>
    <w:rsid w:val="00C55A4E"/>
    <w:rsid w:val="00C560F1"/>
    <w:rsid w:val="00C56676"/>
    <w:rsid w:val="00C56862"/>
    <w:rsid w:val="00C568FB"/>
    <w:rsid w:val="00C56A78"/>
    <w:rsid w:val="00C570BE"/>
    <w:rsid w:val="00C572C1"/>
    <w:rsid w:val="00C575C1"/>
    <w:rsid w:val="00C60695"/>
    <w:rsid w:val="00C61891"/>
    <w:rsid w:val="00C618A9"/>
    <w:rsid w:val="00C618F0"/>
    <w:rsid w:val="00C61A04"/>
    <w:rsid w:val="00C61B54"/>
    <w:rsid w:val="00C61DA8"/>
    <w:rsid w:val="00C624D0"/>
    <w:rsid w:val="00C62B49"/>
    <w:rsid w:val="00C62BD9"/>
    <w:rsid w:val="00C62C93"/>
    <w:rsid w:val="00C63548"/>
    <w:rsid w:val="00C635C4"/>
    <w:rsid w:val="00C64C1E"/>
    <w:rsid w:val="00C64F74"/>
    <w:rsid w:val="00C652FC"/>
    <w:rsid w:val="00C65544"/>
    <w:rsid w:val="00C661E7"/>
    <w:rsid w:val="00C70165"/>
    <w:rsid w:val="00C70216"/>
    <w:rsid w:val="00C713F3"/>
    <w:rsid w:val="00C71D44"/>
    <w:rsid w:val="00C7200A"/>
    <w:rsid w:val="00C726F6"/>
    <w:rsid w:val="00C72E8D"/>
    <w:rsid w:val="00C73349"/>
    <w:rsid w:val="00C73DD3"/>
    <w:rsid w:val="00C74162"/>
    <w:rsid w:val="00C74489"/>
    <w:rsid w:val="00C7470B"/>
    <w:rsid w:val="00C74B32"/>
    <w:rsid w:val="00C74B8D"/>
    <w:rsid w:val="00C74BB0"/>
    <w:rsid w:val="00C74BD7"/>
    <w:rsid w:val="00C75074"/>
    <w:rsid w:val="00C7507C"/>
    <w:rsid w:val="00C756C0"/>
    <w:rsid w:val="00C75739"/>
    <w:rsid w:val="00C76BF0"/>
    <w:rsid w:val="00C778E5"/>
    <w:rsid w:val="00C7793C"/>
    <w:rsid w:val="00C803E4"/>
    <w:rsid w:val="00C80BC4"/>
    <w:rsid w:val="00C80DDF"/>
    <w:rsid w:val="00C80EB2"/>
    <w:rsid w:val="00C81368"/>
    <w:rsid w:val="00C81CBF"/>
    <w:rsid w:val="00C8374D"/>
    <w:rsid w:val="00C83FBC"/>
    <w:rsid w:val="00C840A1"/>
    <w:rsid w:val="00C844CC"/>
    <w:rsid w:val="00C84D3D"/>
    <w:rsid w:val="00C85184"/>
    <w:rsid w:val="00C86595"/>
    <w:rsid w:val="00C86897"/>
    <w:rsid w:val="00C86B81"/>
    <w:rsid w:val="00C86E67"/>
    <w:rsid w:val="00C86FD2"/>
    <w:rsid w:val="00C87EE6"/>
    <w:rsid w:val="00C9000C"/>
    <w:rsid w:val="00C90557"/>
    <w:rsid w:val="00C90D6C"/>
    <w:rsid w:val="00C91E5A"/>
    <w:rsid w:val="00C926F9"/>
    <w:rsid w:val="00C92BC6"/>
    <w:rsid w:val="00C9327A"/>
    <w:rsid w:val="00C93756"/>
    <w:rsid w:val="00C941E4"/>
    <w:rsid w:val="00C946E5"/>
    <w:rsid w:val="00C954A5"/>
    <w:rsid w:val="00C95AD8"/>
    <w:rsid w:val="00C9654D"/>
    <w:rsid w:val="00C966EA"/>
    <w:rsid w:val="00C96D97"/>
    <w:rsid w:val="00C9713E"/>
    <w:rsid w:val="00CA222D"/>
    <w:rsid w:val="00CA2400"/>
    <w:rsid w:val="00CA273F"/>
    <w:rsid w:val="00CA2796"/>
    <w:rsid w:val="00CA2C86"/>
    <w:rsid w:val="00CA32F8"/>
    <w:rsid w:val="00CA37C9"/>
    <w:rsid w:val="00CA4476"/>
    <w:rsid w:val="00CA502A"/>
    <w:rsid w:val="00CA5239"/>
    <w:rsid w:val="00CA596D"/>
    <w:rsid w:val="00CA71E4"/>
    <w:rsid w:val="00CA7E23"/>
    <w:rsid w:val="00CB06D8"/>
    <w:rsid w:val="00CB0986"/>
    <w:rsid w:val="00CB0A0B"/>
    <w:rsid w:val="00CB0CE4"/>
    <w:rsid w:val="00CB127E"/>
    <w:rsid w:val="00CB1425"/>
    <w:rsid w:val="00CB1676"/>
    <w:rsid w:val="00CB1CE8"/>
    <w:rsid w:val="00CB1D92"/>
    <w:rsid w:val="00CB2AAF"/>
    <w:rsid w:val="00CB2D99"/>
    <w:rsid w:val="00CB2EC6"/>
    <w:rsid w:val="00CB343D"/>
    <w:rsid w:val="00CB49DA"/>
    <w:rsid w:val="00CB4D54"/>
    <w:rsid w:val="00CB53C8"/>
    <w:rsid w:val="00CB56CC"/>
    <w:rsid w:val="00CB56FE"/>
    <w:rsid w:val="00CB5D2E"/>
    <w:rsid w:val="00CB62F7"/>
    <w:rsid w:val="00CB6319"/>
    <w:rsid w:val="00CB636A"/>
    <w:rsid w:val="00CB6967"/>
    <w:rsid w:val="00CB6F9B"/>
    <w:rsid w:val="00CB7DD5"/>
    <w:rsid w:val="00CC0279"/>
    <w:rsid w:val="00CC092B"/>
    <w:rsid w:val="00CC134E"/>
    <w:rsid w:val="00CC196F"/>
    <w:rsid w:val="00CC1D3C"/>
    <w:rsid w:val="00CC21CE"/>
    <w:rsid w:val="00CC2411"/>
    <w:rsid w:val="00CC2413"/>
    <w:rsid w:val="00CC29AF"/>
    <w:rsid w:val="00CC2EA7"/>
    <w:rsid w:val="00CC3064"/>
    <w:rsid w:val="00CC3BC7"/>
    <w:rsid w:val="00CC3DAE"/>
    <w:rsid w:val="00CC3F5F"/>
    <w:rsid w:val="00CC42C0"/>
    <w:rsid w:val="00CC42FD"/>
    <w:rsid w:val="00CC460A"/>
    <w:rsid w:val="00CC46DB"/>
    <w:rsid w:val="00CC4A38"/>
    <w:rsid w:val="00CC4D4F"/>
    <w:rsid w:val="00CC4EC0"/>
    <w:rsid w:val="00CC510D"/>
    <w:rsid w:val="00CC511C"/>
    <w:rsid w:val="00CC5147"/>
    <w:rsid w:val="00CC5666"/>
    <w:rsid w:val="00CC599A"/>
    <w:rsid w:val="00CC599F"/>
    <w:rsid w:val="00CC59B6"/>
    <w:rsid w:val="00CC5A9D"/>
    <w:rsid w:val="00CC5EA8"/>
    <w:rsid w:val="00CC5F21"/>
    <w:rsid w:val="00CC63DC"/>
    <w:rsid w:val="00CC65A3"/>
    <w:rsid w:val="00CC6610"/>
    <w:rsid w:val="00CC6644"/>
    <w:rsid w:val="00CC70DB"/>
    <w:rsid w:val="00CC72E9"/>
    <w:rsid w:val="00CC73E6"/>
    <w:rsid w:val="00CC7848"/>
    <w:rsid w:val="00CC7D54"/>
    <w:rsid w:val="00CD01AF"/>
    <w:rsid w:val="00CD0701"/>
    <w:rsid w:val="00CD0A1C"/>
    <w:rsid w:val="00CD12C5"/>
    <w:rsid w:val="00CD18F1"/>
    <w:rsid w:val="00CD1A34"/>
    <w:rsid w:val="00CD1FF3"/>
    <w:rsid w:val="00CD2E2C"/>
    <w:rsid w:val="00CD2F07"/>
    <w:rsid w:val="00CD364D"/>
    <w:rsid w:val="00CD3730"/>
    <w:rsid w:val="00CD46A4"/>
    <w:rsid w:val="00CD502E"/>
    <w:rsid w:val="00CD51FA"/>
    <w:rsid w:val="00CD55FD"/>
    <w:rsid w:val="00CD595C"/>
    <w:rsid w:val="00CD5CE8"/>
    <w:rsid w:val="00CD5EF6"/>
    <w:rsid w:val="00CD60BE"/>
    <w:rsid w:val="00CD728F"/>
    <w:rsid w:val="00CD78F4"/>
    <w:rsid w:val="00CE064B"/>
    <w:rsid w:val="00CE06F0"/>
    <w:rsid w:val="00CE0EEE"/>
    <w:rsid w:val="00CE14EB"/>
    <w:rsid w:val="00CE1707"/>
    <w:rsid w:val="00CE1FF7"/>
    <w:rsid w:val="00CE2050"/>
    <w:rsid w:val="00CE2107"/>
    <w:rsid w:val="00CE25BC"/>
    <w:rsid w:val="00CE2C53"/>
    <w:rsid w:val="00CE2D58"/>
    <w:rsid w:val="00CE3461"/>
    <w:rsid w:val="00CE4657"/>
    <w:rsid w:val="00CE48C3"/>
    <w:rsid w:val="00CE4B04"/>
    <w:rsid w:val="00CE5CD2"/>
    <w:rsid w:val="00CE5D8B"/>
    <w:rsid w:val="00CE5FCB"/>
    <w:rsid w:val="00CE609E"/>
    <w:rsid w:val="00CE6CE9"/>
    <w:rsid w:val="00CE7251"/>
    <w:rsid w:val="00CE72B3"/>
    <w:rsid w:val="00CE72FF"/>
    <w:rsid w:val="00CF063E"/>
    <w:rsid w:val="00CF0BFC"/>
    <w:rsid w:val="00CF1166"/>
    <w:rsid w:val="00CF13A4"/>
    <w:rsid w:val="00CF146A"/>
    <w:rsid w:val="00CF153C"/>
    <w:rsid w:val="00CF156E"/>
    <w:rsid w:val="00CF1629"/>
    <w:rsid w:val="00CF1858"/>
    <w:rsid w:val="00CF1ABC"/>
    <w:rsid w:val="00CF273B"/>
    <w:rsid w:val="00CF2877"/>
    <w:rsid w:val="00CF2C58"/>
    <w:rsid w:val="00CF3296"/>
    <w:rsid w:val="00CF365E"/>
    <w:rsid w:val="00CF3778"/>
    <w:rsid w:val="00CF3E1E"/>
    <w:rsid w:val="00CF3FD1"/>
    <w:rsid w:val="00CF413C"/>
    <w:rsid w:val="00CF495E"/>
    <w:rsid w:val="00CF51DE"/>
    <w:rsid w:val="00CF6B65"/>
    <w:rsid w:val="00CF6C7E"/>
    <w:rsid w:val="00CF6EB7"/>
    <w:rsid w:val="00CF6F22"/>
    <w:rsid w:val="00CF78C7"/>
    <w:rsid w:val="00CF7A46"/>
    <w:rsid w:val="00CF7D23"/>
    <w:rsid w:val="00D00187"/>
    <w:rsid w:val="00D0038C"/>
    <w:rsid w:val="00D003A6"/>
    <w:rsid w:val="00D00AA8"/>
    <w:rsid w:val="00D0134E"/>
    <w:rsid w:val="00D017D3"/>
    <w:rsid w:val="00D018C3"/>
    <w:rsid w:val="00D018F8"/>
    <w:rsid w:val="00D01AC3"/>
    <w:rsid w:val="00D01C8D"/>
    <w:rsid w:val="00D0201F"/>
    <w:rsid w:val="00D03007"/>
    <w:rsid w:val="00D0375F"/>
    <w:rsid w:val="00D0383F"/>
    <w:rsid w:val="00D040DC"/>
    <w:rsid w:val="00D0479B"/>
    <w:rsid w:val="00D04E6F"/>
    <w:rsid w:val="00D04F9A"/>
    <w:rsid w:val="00D06F55"/>
    <w:rsid w:val="00D07439"/>
    <w:rsid w:val="00D07CE9"/>
    <w:rsid w:val="00D10217"/>
    <w:rsid w:val="00D10907"/>
    <w:rsid w:val="00D10F45"/>
    <w:rsid w:val="00D10FF4"/>
    <w:rsid w:val="00D114D0"/>
    <w:rsid w:val="00D11C15"/>
    <w:rsid w:val="00D11CB4"/>
    <w:rsid w:val="00D131C8"/>
    <w:rsid w:val="00D13810"/>
    <w:rsid w:val="00D13C7E"/>
    <w:rsid w:val="00D13EAA"/>
    <w:rsid w:val="00D150C4"/>
    <w:rsid w:val="00D151B5"/>
    <w:rsid w:val="00D16FC7"/>
    <w:rsid w:val="00D16FD7"/>
    <w:rsid w:val="00D17033"/>
    <w:rsid w:val="00D17847"/>
    <w:rsid w:val="00D17BBA"/>
    <w:rsid w:val="00D17E9A"/>
    <w:rsid w:val="00D2019F"/>
    <w:rsid w:val="00D20711"/>
    <w:rsid w:val="00D2074C"/>
    <w:rsid w:val="00D20E2D"/>
    <w:rsid w:val="00D2119C"/>
    <w:rsid w:val="00D214A8"/>
    <w:rsid w:val="00D21B3B"/>
    <w:rsid w:val="00D231DB"/>
    <w:rsid w:val="00D24BC5"/>
    <w:rsid w:val="00D25259"/>
    <w:rsid w:val="00D258D3"/>
    <w:rsid w:val="00D25CD0"/>
    <w:rsid w:val="00D26D89"/>
    <w:rsid w:val="00D27544"/>
    <w:rsid w:val="00D27B1A"/>
    <w:rsid w:val="00D307AD"/>
    <w:rsid w:val="00D30EF4"/>
    <w:rsid w:val="00D31404"/>
    <w:rsid w:val="00D31C11"/>
    <w:rsid w:val="00D3235D"/>
    <w:rsid w:val="00D32A4F"/>
    <w:rsid w:val="00D3348D"/>
    <w:rsid w:val="00D33597"/>
    <w:rsid w:val="00D33C1A"/>
    <w:rsid w:val="00D33CD6"/>
    <w:rsid w:val="00D3551E"/>
    <w:rsid w:val="00D35B08"/>
    <w:rsid w:val="00D35D7B"/>
    <w:rsid w:val="00D35FA2"/>
    <w:rsid w:val="00D3629B"/>
    <w:rsid w:val="00D3766A"/>
    <w:rsid w:val="00D408D4"/>
    <w:rsid w:val="00D40A0D"/>
    <w:rsid w:val="00D40D4B"/>
    <w:rsid w:val="00D411B5"/>
    <w:rsid w:val="00D413DC"/>
    <w:rsid w:val="00D413E6"/>
    <w:rsid w:val="00D416A9"/>
    <w:rsid w:val="00D4176A"/>
    <w:rsid w:val="00D419CA"/>
    <w:rsid w:val="00D42B59"/>
    <w:rsid w:val="00D42E8A"/>
    <w:rsid w:val="00D43B5B"/>
    <w:rsid w:val="00D43D44"/>
    <w:rsid w:val="00D441A7"/>
    <w:rsid w:val="00D44361"/>
    <w:rsid w:val="00D44516"/>
    <w:rsid w:val="00D44B2A"/>
    <w:rsid w:val="00D44FD5"/>
    <w:rsid w:val="00D45129"/>
    <w:rsid w:val="00D45403"/>
    <w:rsid w:val="00D45DFA"/>
    <w:rsid w:val="00D46D5B"/>
    <w:rsid w:val="00D47082"/>
    <w:rsid w:val="00D472A3"/>
    <w:rsid w:val="00D47D81"/>
    <w:rsid w:val="00D5012E"/>
    <w:rsid w:val="00D504C2"/>
    <w:rsid w:val="00D50B99"/>
    <w:rsid w:val="00D50E1F"/>
    <w:rsid w:val="00D50F45"/>
    <w:rsid w:val="00D51794"/>
    <w:rsid w:val="00D517D8"/>
    <w:rsid w:val="00D51CCE"/>
    <w:rsid w:val="00D524C8"/>
    <w:rsid w:val="00D52688"/>
    <w:rsid w:val="00D5268E"/>
    <w:rsid w:val="00D5273D"/>
    <w:rsid w:val="00D52BA6"/>
    <w:rsid w:val="00D535AA"/>
    <w:rsid w:val="00D538FF"/>
    <w:rsid w:val="00D5399F"/>
    <w:rsid w:val="00D54322"/>
    <w:rsid w:val="00D5516B"/>
    <w:rsid w:val="00D553F9"/>
    <w:rsid w:val="00D5566F"/>
    <w:rsid w:val="00D563DB"/>
    <w:rsid w:val="00D566B0"/>
    <w:rsid w:val="00D568FF"/>
    <w:rsid w:val="00D5783E"/>
    <w:rsid w:val="00D57B4D"/>
    <w:rsid w:val="00D601E7"/>
    <w:rsid w:val="00D6037E"/>
    <w:rsid w:val="00D60781"/>
    <w:rsid w:val="00D615DC"/>
    <w:rsid w:val="00D62C76"/>
    <w:rsid w:val="00D62DB7"/>
    <w:rsid w:val="00D64EAC"/>
    <w:rsid w:val="00D65043"/>
    <w:rsid w:val="00D65543"/>
    <w:rsid w:val="00D66143"/>
    <w:rsid w:val="00D6644E"/>
    <w:rsid w:val="00D66BC9"/>
    <w:rsid w:val="00D678CC"/>
    <w:rsid w:val="00D67C14"/>
    <w:rsid w:val="00D67D91"/>
    <w:rsid w:val="00D703DA"/>
    <w:rsid w:val="00D70D7E"/>
    <w:rsid w:val="00D70F25"/>
    <w:rsid w:val="00D7146F"/>
    <w:rsid w:val="00D7154C"/>
    <w:rsid w:val="00D72D9E"/>
    <w:rsid w:val="00D73615"/>
    <w:rsid w:val="00D7375D"/>
    <w:rsid w:val="00D7384A"/>
    <w:rsid w:val="00D73EBE"/>
    <w:rsid w:val="00D74337"/>
    <w:rsid w:val="00D749B2"/>
    <w:rsid w:val="00D750B4"/>
    <w:rsid w:val="00D75218"/>
    <w:rsid w:val="00D75294"/>
    <w:rsid w:val="00D75318"/>
    <w:rsid w:val="00D75ABA"/>
    <w:rsid w:val="00D771A5"/>
    <w:rsid w:val="00D774AB"/>
    <w:rsid w:val="00D77B61"/>
    <w:rsid w:val="00D805D5"/>
    <w:rsid w:val="00D80CFE"/>
    <w:rsid w:val="00D81019"/>
    <w:rsid w:val="00D812B7"/>
    <w:rsid w:val="00D81557"/>
    <w:rsid w:val="00D82578"/>
    <w:rsid w:val="00D83033"/>
    <w:rsid w:val="00D833EB"/>
    <w:rsid w:val="00D83444"/>
    <w:rsid w:val="00D8416B"/>
    <w:rsid w:val="00D84BF5"/>
    <w:rsid w:val="00D85459"/>
    <w:rsid w:val="00D85C15"/>
    <w:rsid w:val="00D863CB"/>
    <w:rsid w:val="00D8659C"/>
    <w:rsid w:val="00D86879"/>
    <w:rsid w:val="00D86C23"/>
    <w:rsid w:val="00D871D7"/>
    <w:rsid w:val="00D8798C"/>
    <w:rsid w:val="00D879C7"/>
    <w:rsid w:val="00D87E17"/>
    <w:rsid w:val="00D901FF"/>
    <w:rsid w:val="00D9044A"/>
    <w:rsid w:val="00D909E8"/>
    <w:rsid w:val="00D9179E"/>
    <w:rsid w:val="00D929BA"/>
    <w:rsid w:val="00D92A6D"/>
    <w:rsid w:val="00D938C1"/>
    <w:rsid w:val="00D94012"/>
    <w:rsid w:val="00D94966"/>
    <w:rsid w:val="00D94DE9"/>
    <w:rsid w:val="00D94EBF"/>
    <w:rsid w:val="00D9527F"/>
    <w:rsid w:val="00D9550F"/>
    <w:rsid w:val="00D95DAC"/>
    <w:rsid w:val="00D95F3E"/>
    <w:rsid w:val="00D9610B"/>
    <w:rsid w:val="00D9641A"/>
    <w:rsid w:val="00D96486"/>
    <w:rsid w:val="00D972F6"/>
    <w:rsid w:val="00D97602"/>
    <w:rsid w:val="00D9760D"/>
    <w:rsid w:val="00D97D75"/>
    <w:rsid w:val="00DA00AD"/>
    <w:rsid w:val="00DA0110"/>
    <w:rsid w:val="00DA0772"/>
    <w:rsid w:val="00DA0AA6"/>
    <w:rsid w:val="00DA0EAB"/>
    <w:rsid w:val="00DA117D"/>
    <w:rsid w:val="00DA11E1"/>
    <w:rsid w:val="00DA1345"/>
    <w:rsid w:val="00DA14BB"/>
    <w:rsid w:val="00DA17A3"/>
    <w:rsid w:val="00DA1ABE"/>
    <w:rsid w:val="00DA1D68"/>
    <w:rsid w:val="00DA1D9C"/>
    <w:rsid w:val="00DA288D"/>
    <w:rsid w:val="00DA29F7"/>
    <w:rsid w:val="00DA2CCC"/>
    <w:rsid w:val="00DA2EB7"/>
    <w:rsid w:val="00DA34B8"/>
    <w:rsid w:val="00DA3FE0"/>
    <w:rsid w:val="00DA54C6"/>
    <w:rsid w:val="00DA57A2"/>
    <w:rsid w:val="00DA6407"/>
    <w:rsid w:val="00DA6B12"/>
    <w:rsid w:val="00DA7A2D"/>
    <w:rsid w:val="00DB0BC0"/>
    <w:rsid w:val="00DB0BDB"/>
    <w:rsid w:val="00DB1902"/>
    <w:rsid w:val="00DB1938"/>
    <w:rsid w:val="00DB1E99"/>
    <w:rsid w:val="00DB26BC"/>
    <w:rsid w:val="00DB2727"/>
    <w:rsid w:val="00DB2E9E"/>
    <w:rsid w:val="00DB316B"/>
    <w:rsid w:val="00DB3477"/>
    <w:rsid w:val="00DB42DA"/>
    <w:rsid w:val="00DB437F"/>
    <w:rsid w:val="00DB4548"/>
    <w:rsid w:val="00DB4744"/>
    <w:rsid w:val="00DB48CE"/>
    <w:rsid w:val="00DB4B77"/>
    <w:rsid w:val="00DB4CA3"/>
    <w:rsid w:val="00DB50F9"/>
    <w:rsid w:val="00DB5CD1"/>
    <w:rsid w:val="00DB7159"/>
    <w:rsid w:val="00DB7164"/>
    <w:rsid w:val="00DB76D1"/>
    <w:rsid w:val="00DB77FB"/>
    <w:rsid w:val="00DB7840"/>
    <w:rsid w:val="00DB7E6C"/>
    <w:rsid w:val="00DC0171"/>
    <w:rsid w:val="00DC01F6"/>
    <w:rsid w:val="00DC0365"/>
    <w:rsid w:val="00DC088B"/>
    <w:rsid w:val="00DC1A2D"/>
    <w:rsid w:val="00DC1CB1"/>
    <w:rsid w:val="00DC2269"/>
    <w:rsid w:val="00DC39C6"/>
    <w:rsid w:val="00DC3A33"/>
    <w:rsid w:val="00DC4085"/>
    <w:rsid w:val="00DC45E8"/>
    <w:rsid w:val="00DC4877"/>
    <w:rsid w:val="00DC4962"/>
    <w:rsid w:val="00DC4C2E"/>
    <w:rsid w:val="00DC51DB"/>
    <w:rsid w:val="00DC54A8"/>
    <w:rsid w:val="00DC578C"/>
    <w:rsid w:val="00DC593D"/>
    <w:rsid w:val="00DC5AEC"/>
    <w:rsid w:val="00DC6336"/>
    <w:rsid w:val="00DC69BD"/>
    <w:rsid w:val="00DC6E08"/>
    <w:rsid w:val="00DC7630"/>
    <w:rsid w:val="00DD0AE5"/>
    <w:rsid w:val="00DD0DF5"/>
    <w:rsid w:val="00DD1360"/>
    <w:rsid w:val="00DD136D"/>
    <w:rsid w:val="00DD1851"/>
    <w:rsid w:val="00DD2323"/>
    <w:rsid w:val="00DD24D5"/>
    <w:rsid w:val="00DD2B7B"/>
    <w:rsid w:val="00DD47A3"/>
    <w:rsid w:val="00DD4DE2"/>
    <w:rsid w:val="00DD5181"/>
    <w:rsid w:val="00DD5BD0"/>
    <w:rsid w:val="00DD5C1F"/>
    <w:rsid w:val="00DD60BA"/>
    <w:rsid w:val="00DD7851"/>
    <w:rsid w:val="00DD792C"/>
    <w:rsid w:val="00DD7E57"/>
    <w:rsid w:val="00DE0181"/>
    <w:rsid w:val="00DE04E3"/>
    <w:rsid w:val="00DE06E9"/>
    <w:rsid w:val="00DE075F"/>
    <w:rsid w:val="00DE18C4"/>
    <w:rsid w:val="00DE1F88"/>
    <w:rsid w:val="00DE2928"/>
    <w:rsid w:val="00DE346C"/>
    <w:rsid w:val="00DE3521"/>
    <w:rsid w:val="00DE4593"/>
    <w:rsid w:val="00DE4BF3"/>
    <w:rsid w:val="00DE4D9E"/>
    <w:rsid w:val="00DE5E46"/>
    <w:rsid w:val="00DE5F29"/>
    <w:rsid w:val="00DE6083"/>
    <w:rsid w:val="00DE625C"/>
    <w:rsid w:val="00DE6793"/>
    <w:rsid w:val="00DE6A15"/>
    <w:rsid w:val="00DE7252"/>
    <w:rsid w:val="00DE7A6C"/>
    <w:rsid w:val="00DF099B"/>
    <w:rsid w:val="00DF0DBB"/>
    <w:rsid w:val="00DF1135"/>
    <w:rsid w:val="00DF12F5"/>
    <w:rsid w:val="00DF13A4"/>
    <w:rsid w:val="00DF1545"/>
    <w:rsid w:val="00DF165D"/>
    <w:rsid w:val="00DF191A"/>
    <w:rsid w:val="00DF1976"/>
    <w:rsid w:val="00DF1A9C"/>
    <w:rsid w:val="00DF1B65"/>
    <w:rsid w:val="00DF1E3C"/>
    <w:rsid w:val="00DF25B6"/>
    <w:rsid w:val="00DF25F3"/>
    <w:rsid w:val="00DF29EE"/>
    <w:rsid w:val="00DF2F2D"/>
    <w:rsid w:val="00DF2F4F"/>
    <w:rsid w:val="00DF3744"/>
    <w:rsid w:val="00DF38D6"/>
    <w:rsid w:val="00E00CA0"/>
    <w:rsid w:val="00E00D25"/>
    <w:rsid w:val="00E01EBF"/>
    <w:rsid w:val="00E02208"/>
    <w:rsid w:val="00E02471"/>
    <w:rsid w:val="00E02864"/>
    <w:rsid w:val="00E036B0"/>
    <w:rsid w:val="00E03A58"/>
    <w:rsid w:val="00E044DD"/>
    <w:rsid w:val="00E04F53"/>
    <w:rsid w:val="00E05042"/>
    <w:rsid w:val="00E05076"/>
    <w:rsid w:val="00E05091"/>
    <w:rsid w:val="00E05750"/>
    <w:rsid w:val="00E057B0"/>
    <w:rsid w:val="00E05AC0"/>
    <w:rsid w:val="00E05E95"/>
    <w:rsid w:val="00E06102"/>
    <w:rsid w:val="00E06546"/>
    <w:rsid w:val="00E0687F"/>
    <w:rsid w:val="00E06C81"/>
    <w:rsid w:val="00E06F66"/>
    <w:rsid w:val="00E078AB"/>
    <w:rsid w:val="00E10510"/>
    <w:rsid w:val="00E10740"/>
    <w:rsid w:val="00E11243"/>
    <w:rsid w:val="00E11EC6"/>
    <w:rsid w:val="00E1209A"/>
    <w:rsid w:val="00E12A6F"/>
    <w:rsid w:val="00E12CB4"/>
    <w:rsid w:val="00E12DF5"/>
    <w:rsid w:val="00E14BAC"/>
    <w:rsid w:val="00E14F93"/>
    <w:rsid w:val="00E15C48"/>
    <w:rsid w:val="00E15E76"/>
    <w:rsid w:val="00E162A4"/>
    <w:rsid w:val="00E16538"/>
    <w:rsid w:val="00E176F9"/>
    <w:rsid w:val="00E207AB"/>
    <w:rsid w:val="00E20A84"/>
    <w:rsid w:val="00E213F2"/>
    <w:rsid w:val="00E21C6A"/>
    <w:rsid w:val="00E21D42"/>
    <w:rsid w:val="00E21E2D"/>
    <w:rsid w:val="00E220A6"/>
    <w:rsid w:val="00E22304"/>
    <w:rsid w:val="00E228BD"/>
    <w:rsid w:val="00E22A98"/>
    <w:rsid w:val="00E22B47"/>
    <w:rsid w:val="00E22FD8"/>
    <w:rsid w:val="00E237F7"/>
    <w:rsid w:val="00E23965"/>
    <w:rsid w:val="00E23B43"/>
    <w:rsid w:val="00E23B99"/>
    <w:rsid w:val="00E242B1"/>
    <w:rsid w:val="00E24EE4"/>
    <w:rsid w:val="00E253EA"/>
    <w:rsid w:val="00E25C02"/>
    <w:rsid w:val="00E26156"/>
    <w:rsid w:val="00E262A1"/>
    <w:rsid w:val="00E263D8"/>
    <w:rsid w:val="00E301A9"/>
    <w:rsid w:val="00E30927"/>
    <w:rsid w:val="00E309BF"/>
    <w:rsid w:val="00E31C6C"/>
    <w:rsid w:val="00E323EE"/>
    <w:rsid w:val="00E32B2B"/>
    <w:rsid w:val="00E33917"/>
    <w:rsid w:val="00E3404B"/>
    <w:rsid w:val="00E342C2"/>
    <w:rsid w:val="00E347E9"/>
    <w:rsid w:val="00E35B17"/>
    <w:rsid w:val="00E36085"/>
    <w:rsid w:val="00E366E2"/>
    <w:rsid w:val="00E36D18"/>
    <w:rsid w:val="00E36DEB"/>
    <w:rsid w:val="00E3717D"/>
    <w:rsid w:val="00E3794F"/>
    <w:rsid w:val="00E402AB"/>
    <w:rsid w:val="00E40A1A"/>
    <w:rsid w:val="00E40AFD"/>
    <w:rsid w:val="00E40EF7"/>
    <w:rsid w:val="00E413CB"/>
    <w:rsid w:val="00E4257B"/>
    <w:rsid w:val="00E42AAF"/>
    <w:rsid w:val="00E42B49"/>
    <w:rsid w:val="00E42EB2"/>
    <w:rsid w:val="00E432DB"/>
    <w:rsid w:val="00E437D9"/>
    <w:rsid w:val="00E4431B"/>
    <w:rsid w:val="00E44D7A"/>
    <w:rsid w:val="00E45BE7"/>
    <w:rsid w:val="00E4670C"/>
    <w:rsid w:val="00E467DF"/>
    <w:rsid w:val="00E47C8D"/>
    <w:rsid w:val="00E50C46"/>
    <w:rsid w:val="00E51555"/>
    <w:rsid w:val="00E517AD"/>
    <w:rsid w:val="00E525AD"/>
    <w:rsid w:val="00E528A0"/>
    <w:rsid w:val="00E535B7"/>
    <w:rsid w:val="00E53D25"/>
    <w:rsid w:val="00E54186"/>
    <w:rsid w:val="00E54644"/>
    <w:rsid w:val="00E54E69"/>
    <w:rsid w:val="00E55EAF"/>
    <w:rsid w:val="00E560FC"/>
    <w:rsid w:val="00E560FF"/>
    <w:rsid w:val="00E5649A"/>
    <w:rsid w:val="00E572FF"/>
    <w:rsid w:val="00E574F1"/>
    <w:rsid w:val="00E57851"/>
    <w:rsid w:val="00E57F4A"/>
    <w:rsid w:val="00E606A9"/>
    <w:rsid w:val="00E60C29"/>
    <w:rsid w:val="00E61703"/>
    <w:rsid w:val="00E61F14"/>
    <w:rsid w:val="00E62409"/>
    <w:rsid w:val="00E628CC"/>
    <w:rsid w:val="00E62FFD"/>
    <w:rsid w:val="00E63285"/>
    <w:rsid w:val="00E633AC"/>
    <w:rsid w:val="00E64547"/>
    <w:rsid w:val="00E645B4"/>
    <w:rsid w:val="00E647A2"/>
    <w:rsid w:val="00E64E44"/>
    <w:rsid w:val="00E65AB0"/>
    <w:rsid w:val="00E666A6"/>
    <w:rsid w:val="00E668FF"/>
    <w:rsid w:val="00E66926"/>
    <w:rsid w:val="00E66A2A"/>
    <w:rsid w:val="00E67C12"/>
    <w:rsid w:val="00E708EF"/>
    <w:rsid w:val="00E70A05"/>
    <w:rsid w:val="00E70DB4"/>
    <w:rsid w:val="00E70E75"/>
    <w:rsid w:val="00E71D7C"/>
    <w:rsid w:val="00E7216A"/>
    <w:rsid w:val="00E721AE"/>
    <w:rsid w:val="00E7260D"/>
    <w:rsid w:val="00E729BC"/>
    <w:rsid w:val="00E73022"/>
    <w:rsid w:val="00E731DC"/>
    <w:rsid w:val="00E7346C"/>
    <w:rsid w:val="00E73A11"/>
    <w:rsid w:val="00E73AEA"/>
    <w:rsid w:val="00E73D6D"/>
    <w:rsid w:val="00E74195"/>
    <w:rsid w:val="00E7537D"/>
    <w:rsid w:val="00E76234"/>
    <w:rsid w:val="00E7656A"/>
    <w:rsid w:val="00E7666E"/>
    <w:rsid w:val="00E76E80"/>
    <w:rsid w:val="00E77A91"/>
    <w:rsid w:val="00E77D31"/>
    <w:rsid w:val="00E806C2"/>
    <w:rsid w:val="00E80925"/>
    <w:rsid w:val="00E80C9C"/>
    <w:rsid w:val="00E80FBF"/>
    <w:rsid w:val="00E81B2A"/>
    <w:rsid w:val="00E81E32"/>
    <w:rsid w:val="00E820FE"/>
    <w:rsid w:val="00E82297"/>
    <w:rsid w:val="00E823A7"/>
    <w:rsid w:val="00E827E6"/>
    <w:rsid w:val="00E82D32"/>
    <w:rsid w:val="00E8304F"/>
    <w:rsid w:val="00E842D8"/>
    <w:rsid w:val="00E843B6"/>
    <w:rsid w:val="00E844BC"/>
    <w:rsid w:val="00E8463D"/>
    <w:rsid w:val="00E848C2"/>
    <w:rsid w:val="00E855C9"/>
    <w:rsid w:val="00E85BA2"/>
    <w:rsid w:val="00E86011"/>
    <w:rsid w:val="00E86019"/>
    <w:rsid w:val="00E86450"/>
    <w:rsid w:val="00E86983"/>
    <w:rsid w:val="00E87038"/>
    <w:rsid w:val="00E87F0A"/>
    <w:rsid w:val="00E901DA"/>
    <w:rsid w:val="00E9027B"/>
    <w:rsid w:val="00E902BF"/>
    <w:rsid w:val="00E90367"/>
    <w:rsid w:val="00E90DCD"/>
    <w:rsid w:val="00E91386"/>
    <w:rsid w:val="00E91826"/>
    <w:rsid w:val="00E91D04"/>
    <w:rsid w:val="00E91D1A"/>
    <w:rsid w:val="00E920CD"/>
    <w:rsid w:val="00E93D34"/>
    <w:rsid w:val="00E94420"/>
    <w:rsid w:val="00E94F20"/>
    <w:rsid w:val="00E94F92"/>
    <w:rsid w:val="00E95815"/>
    <w:rsid w:val="00E96991"/>
    <w:rsid w:val="00E96B56"/>
    <w:rsid w:val="00EA0249"/>
    <w:rsid w:val="00EA02AD"/>
    <w:rsid w:val="00EA1CEC"/>
    <w:rsid w:val="00EA257E"/>
    <w:rsid w:val="00EA2675"/>
    <w:rsid w:val="00EA33B8"/>
    <w:rsid w:val="00EA3BAE"/>
    <w:rsid w:val="00EA3E29"/>
    <w:rsid w:val="00EA3FC0"/>
    <w:rsid w:val="00EA5356"/>
    <w:rsid w:val="00EA597F"/>
    <w:rsid w:val="00EA5BC1"/>
    <w:rsid w:val="00EA6749"/>
    <w:rsid w:val="00EA7446"/>
    <w:rsid w:val="00EA7B8D"/>
    <w:rsid w:val="00EB03AA"/>
    <w:rsid w:val="00EB0F47"/>
    <w:rsid w:val="00EB14AC"/>
    <w:rsid w:val="00EB1698"/>
    <w:rsid w:val="00EB16C6"/>
    <w:rsid w:val="00EB1D64"/>
    <w:rsid w:val="00EB1D84"/>
    <w:rsid w:val="00EB1EA2"/>
    <w:rsid w:val="00EB25C2"/>
    <w:rsid w:val="00EB2E69"/>
    <w:rsid w:val="00EB397D"/>
    <w:rsid w:val="00EB3F51"/>
    <w:rsid w:val="00EB45B1"/>
    <w:rsid w:val="00EB471B"/>
    <w:rsid w:val="00EB5036"/>
    <w:rsid w:val="00EB630B"/>
    <w:rsid w:val="00EB6A96"/>
    <w:rsid w:val="00EB70A8"/>
    <w:rsid w:val="00EB7B6E"/>
    <w:rsid w:val="00EB7D7B"/>
    <w:rsid w:val="00EC0276"/>
    <w:rsid w:val="00EC0374"/>
    <w:rsid w:val="00EC08D3"/>
    <w:rsid w:val="00EC09CD"/>
    <w:rsid w:val="00EC0B50"/>
    <w:rsid w:val="00EC160D"/>
    <w:rsid w:val="00EC2E0D"/>
    <w:rsid w:val="00EC3140"/>
    <w:rsid w:val="00EC3417"/>
    <w:rsid w:val="00EC3837"/>
    <w:rsid w:val="00EC49A8"/>
    <w:rsid w:val="00EC4B37"/>
    <w:rsid w:val="00EC50BB"/>
    <w:rsid w:val="00EC5149"/>
    <w:rsid w:val="00EC58B8"/>
    <w:rsid w:val="00EC5B0D"/>
    <w:rsid w:val="00EC5D9E"/>
    <w:rsid w:val="00EC6B9C"/>
    <w:rsid w:val="00EC74F1"/>
    <w:rsid w:val="00ED0B03"/>
    <w:rsid w:val="00ED0C77"/>
    <w:rsid w:val="00ED0D1A"/>
    <w:rsid w:val="00ED1079"/>
    <w:rsid w:val="00ED13D8"/>
    <w:rsid w:val="00ED14E8"/>
    <w:rsid w:val="00ED1D00"/>
    <w:rsid w:val="00ED2175"/>
    <w:rsid w:val="00ED2BE2"/>
    <w:rsid w:val="00ED3B0B"/>
    <w:rsid w:val="00ED3C6F"/>
    <w:rsid w:val="00ED418C"/>
    <w:rsid w:val="00ED4631"/>
    <w:rsid w:val="00ED4B2F"/>
    <w:rsid w:val="00ED4F4F"/>
    <w:rsid w:val="00ED516A"/>
    <w:rsid w:val="00ED56FE"/>
    <w:rsid w:val="00ED5A6D"/>
    <w:rsid w:val="00ED6220"/>
    <w:rsid w:val="00ED6489"/>
    <w:rsid w:val="00ED663C"/>
    <w:rsid w:val="00ED6DA1"/>
    <w:rsid w:val="00ED6FB2"/>
    <w:rsid w:val="00ED7D0F"/>
    <w:rsid w:val="00EE049B"/>
    <w:rsid w:val="00EE0A6A"/>
    <w:rsid w:val="00EE0B75"/>
    <w:rsid w:val="00EE0FC6"/>
    <w:rsid w:val="00EE2060"/>
    <w:rsid w:val="00EE23DC"/>
    <w:rsid w:val="00EE2921"/>
    <w:rsid w:val="00EE5860"/>
    <w:rsid w:val="00EE58E1"/>
    <w:rsid w:val="00EE5A67"/>
    <w:rsid w:val="00EE6ADF"/>
    <w:rsid w:val="00EE6B99"/>
    <w:rsid w:val="00EE6F84"/>
    <w:rsid w:val="00EE7118"/>
    <w:rsid w:val="00EE739A"/>
    <w:rsid w:val="00EE7549"/>
    <w:rsid w:val="00EF07D9"/>
    <w:rsid w:val="00EF0ECE"/>
    <w:rsid w:val="00EF12CD"/>
    <w:rsid w:val="00EF1536"/>
    <w:rsid w:val="00EF23A2"/>
    <w:rsid w:val="00EF23D8"/>
    <w:rsid w:val="00EF254F"/>
    <w:rsid w:val="00EF2BB4"/>
    <w:rsid w:val="00EF3412"/>
    <w:rsid w:val="00EF421C"/>
    <w:rsid w:val="00EF4574"/>
    <w:rsid w:val="00EF4AEE"/>
    <w:rsid w:val="00EF4EDC"/>
    <w:rsid w:val="00EF520F"/>
    <w:rsid w:val="00EF531E"/>
    <w:rsid w:val="00EF5560"/>
    <w:rsid w:val="00EF55E9"/>
    <w:rsid w:val="00EF5853"/>
    <w:rsid w:val="00EF5D08"/>
    <w:rsid w:val="00EF632F"/>
    <w:rsid w:val="00EF64ED"/>
    <w:rsid w:val="00EF651B"/>
    <w:rsid w:val="00EF65ED"/>
    <w:rsid w:val="00EF6991"/>
    <w:rsid w:val="00EF73B5"/>
    <w:rsid w:val="00EF7D3A"/>
    <w:rsid w:val="00EF7D8B"/>
    <w:rsid w:val="00F00059"/>
    <w:rsid w:val="00F00438"/>
    <w:rsid w:val="00F01374"/>
    <w:rsid w:val="00F025DE"/>
    <w:rsid w:val="00F037E8"/>
    <w:rsid w:val="00F03C38"/>
    <w:rsid w:val="00F03EA6"/>
    <w:rsid w:val="00F04623"/>
    <w:rsid w:val="00F05366"/>
    <w:rsid w:val="00F0553D"/>
    <w:rsid w:val="00F069FA"/>
    <w:rsid w:val="00F06CF7"/>
    <w:rsid w:val="00F07BDD"/>
    <w:rsid w:val="00F07EE7"/>
    <w:rsid w:val="00F07F0B"/>
    <w:rsid w:val="00F10081"/>
    <w:rsid w:val="00F1095C"/>
    <w:rsid w:val="00F10B92"/>
    <w:rsid w:val="00F10D1B"/>
    <w:rsid w:val="00F11438"/>
    <w:rsid w:val="00F11689"/>
    <w:rsid w:val="00F11AB7"/>
    <w:rsid w:val="00F11B3C"/>
    <w:rsid w:val="00F127BA"/>
    <w:rsid w:val="00F12AB3"/>
    <w:rsid w:val="00F13356"/>
    <w:rsid w:val="00F14664"/>
    <w:rsid w:val="00F151EF"/>
    <w:rsid w:val="00F15448"/>
    <w:rsid w:val="00F1562F"/>
    <w:rsid w:val="00F164CF"/>
    <w:rsid w:val="00F165A5"/>
    <w:rsid w:val="00F167C7"/>
    <w:rsid w:val="00F177F0"/>
    <w:rsid w:val="00F17D61"/>
    <w:rsid w:val="00F17F9B"/>
    <w:rsid w:val="00F203E6"/>
    <w:rsid w:val="00F203F4"/>
    <w:rsid w:val="00F2043C"/>
    <w:rsid w:val="00F20977"/>
    <w:rsid w:val="00F20B23"/>
    <w:rsid w:val="00F23319"/>
    <w:rsid w:val="00F233A1"/>
    <w:rsid w:val="00F23A76"/>
    <w:rsid w:val="00F23D68"/>
    <w:rsid w:val="00F24292"/>
    <w:rsid w:val="00F249B3"/>
    <w:rsid w:val="00F24AFC"/>
    <w:rsid w:val="00F2597E"/>
    <w:rsid w:val="00F26A8F"/>
    <w:rsid w:val="00F2799B"/>
    <w:rsid w:val="00F27B3D"/>
    <w:rsid w:val="00F30423"/>
    <w:rsid w:val="00F30798"/>
    <w:rsid w:val="00F3099F"/>
    <w:rsid w:val="00F3143D"/>
    <w:rsid w:val="00F314B8"/>
    <w:rsid w:val="00F31CA2"/>
    <w:rsid w:val="00F31EDA"/>
    <w:rsid w:val="00F320F2"/>
    <w:rsid w:val="00F32939"/>
    <w:rsid w:val="00F339E0"/>
    <w:rsid w:val="00F34228"/>
    <w:rsid w:val="00F34C61"/>
    <w:rsid w:val="00F35FE6"/>
    <w:rsid w:val="00F36081"/>
    <w:rsid w:val="00F3629B"/>
    <w:rsid w:val="00F364F7"/>
    <w:rsid w:val="00F37065"/>
    <w:rsid w:val="00F37A27"/>
    <w:rsid w:val="00F37FDF"/>
    <w:rsid w:val="00F4078E"/>
    <w:rsid w:val="00F40C52"/>
    <w:rsid w:val="00F41082"/>
    <w:rsid w:val="00F4189A"/>
    <w:rsid w:val="00F41AC1"/>
    <w:rsid w:val="00F41C69"/>
    <w:rsid w:val="00F421E3"/>
    <w:rsid w:val="00F42305"/>
    <w:rsid w:val="00F4236F"/>
    <w:rsid w:val="00F4283D"/>
    <w:rsid w:val="00F42DC1"/>
    <w:rsid w:val="00F43364"/>
    <w:rsid w:val="00F43E70"/>
    <w:rsid w:val="00F43F66"/>
    <w:rsid w:val="00F441E9"/>
    <w:rsid w:val="00F44556"/>
    <w:rsid w:val="00F44E62"/>
    <w:rsid w:val="00F46960"/>
    <w:rsid w:val="00F46E90"/>
    <w:rsid w:val="00F46E9D"/>
    <w:rsid w:val="00F47AEF"/>
    <w:rsid w:val="00F50712"/>
    <w:rsid w:val="00F51237"/>
    <w:rsid w:val="00F51460"/>
    <w:rsid w:val="00F51D86"/>
    <w:rsid w:val="00F51DA8"/>
    <w:rsid w:val="00F51FB7"/>
    <w:rsid w:val="00F529D9"/>
    <w:rsid w:val="00F52ACD"/>
    <w:rsid w:val="00F52BCA"/>
    <w:rsid w:val="00F52E10"/>
    <w:rsid w:val="00F5338F"/>
    <w:rsid w:val="00F53691"/>
    <w:rsid w:val="00F536D1"/>
    <w:rsid w:val="00F536D8"/>
    <w:rsid w:val="00F539D8"/>
    <w:rsid w:val="00F54BF6"/>
    <w:rsid w:val="00F54D05"/>
    <w:rsid w:val="00F54F73"/>
    <w:rsid w:val="00F5634C"/>
    <w:rsid w:val="00F56BE2"/>
    <w:rsid w:val="00F56EF6"/>
    <w:rsid w:val="00F56EF8"/>
    <w:rsid w:val="00F57090"/>
    <w:rsid w:val="00F5743C"/>
    <w:rsid w:val="00F60465"/>
    <w:rsid w:val="00F60809"/>
    <w:rsid w:val="00F608C0"/>
    <w:rsid w:val="00F60DA1"/>
    <w:rsid w:val="00F61079"/>
    <w:rsid w:val="00F61727"/>
    <w:rsid w:val="00F618D3"/>
    <w:rsid w:val="00F61BF2"/>
    <w:rsid w:val="00F626C2"/>
    <w:rsid w:val="00F626C5"/>
    <w:rsid w:val="00F62A9A"/>
    <w:rsid w:val="00F62D14"/>
    <w:rsid w:val="00F62E7D"/>
    <w:rsid w:val="00F63AB1"/>
    <w:rsid w:val="00F63E30"/>
    <w:rsid w:val="00F64395"/>
    <w:rsid w:val="00F649FE"/>
    <w:rsid w:val="00F64B4A"/>
    <w:rsid w:val="00F64CD2"/>
    <w:rsid w:val="00F64E4B"/>
    <w:rsid w:val="00F654E2"/>
    <w:rsid w:val="00F6555B"/>
    <w:rsid w:val="00F65601"/>
    <w:rsid w:val="00F6593F"/>
    <w:rsid w:val="00F65DFC"/>
    <w:rsid w:val="00F6600A"/>
    <w:rsid w:val="00F66538"/>
    <w:rsid w:val="00F66E03"/>
    <w:rsid w:val="00F67527"/>
    <w:rsid w:val="00F67AEA"/>
    <w:rsid w:val="00F67CC1"/>
    <w:rsid w:val="00F70BA5"/>
    <w:rsid w:val="00F70C50"/>
    <w:rsid w:val="00F711C7"/>
    <w:rsid w:val="00F71659"/>
    <w:rsid w:val="00F716EE"/>
    <w:rsid w:val="00F717D9"/>
    <w:rsid w:val="00F7226C"/>
    <w:rsid w:val="00F7242B"/>
    <w:rsid w:val="00F726D5"/>
    <w:rsid w:val="00F72A73"/>
    <w:rsid w:val="00F72CED"/>
    <w:rsid w:val="00F730A9"/>
    <w:rsid w:val="00F7393B"/>
    <w:rsid w:val="00F7405C"/>
    <w:rsid w:val="00F74B75"/>
    <w:rsid w:val="00F75728"/>
    <w:rsid w:val="00F758E2"/>
    <w:rsid w:val="00F75B1D"/>
    <w:rsid w:val="00F75D0F"/>
    <w:rsid w:val="00F76347"/>
    <w:rsid w:val="00F769F2"/>
    <w:rsid w:val="00F77333"/>
    <w:rsid w:val="00F774E0"/>
    <w:rsid w:val="00F77A0A"/>
    <w:rsid w:val="00F81553"/>
    <w:rsid w:val="00F818E5"/>
    <w:rsid w:val="00F819B0"/>
    <w:rsid w:val="00F81A5B"/>
    <w:rsid w:val="00F81AA7"/>
    <w:rsid w:val="00F81ABF"/>
    <w:rsid w:val="00F81E3D"/>
    <w:rsid w:val="00F821EE"/>
    <w:rsid w:val="00F82835"/>
    <w:rsid w:val="00F835E9"/>
    <w:rsid w:val="00F83BF1"/>
    <w:rsid w:val="00F83D80"/>
    <w:rsid w:val="00F83DBE"/>
    <w:rsid w:val="00F84AF0"/>
    <w:rsid w:val="00F84DA9"/>
    <w:rsid w:val="00F84E16"/>
    <w:rsid w:val="00F85226"/>
    <w:rsid w:val="00F8536D"/>
    <w:rsid w:val="00F85D77"/>
    <w:rsid w:val="00F86A6A"/>
    <w:rsid w:val="00F86C51"/>
    <w:rsid w:val="00F86CC8"/>
    <w:rsid w:val="00F871CA"/>
    <w:rsid w:val="00F87C3A"/>
    <w:rsid w:val="00F90496"/>
    <w:rsid w:val="00F905A1"/>
    <w:rsid w:val="00F90DEB"/>
    <w:rsid w:val="00F91DFA"/>
    <w:rsid w:val="00F92034"/>
    <w:rsid w:val="00F9246D"/>
    <w:rsid w:val="00F924B4"/>
    <w:rsid w:val="00F92713"/>
    <w:rsid w:val="00F92B09"/>
    <w:rsid w:val="00F933AD"/>
    <w:rsid w:val="00F93C6C"/>
    <w:rsid w:val="00F94579"/>
    <w:rsid w:val="00F94780"/>
    <w:rsid w:val="00F94833"/>
    <w:rsid w:val="00F94BA1"/>
    <w:rsid w:val="00F94CFB"/>
    <w:rsid w:val="00F94D06"/>
    <w:rsid w:val="00F9551B"/>
    <w:rsid w:val="00F9563E"/>
    <w:rsid w:val="00F96315"/>
    <w:rsid w:val="00F96FE2"/>
    <w:rsid w:val="00F97765"/>
    <w:rsid w:val="00F97CDB"/>
    <w:rsid w:val="00FA09DA"/>
    <w:rsid w:val="00FA09F1"/>
    <w:rsid w:val="00FA0A41"/>
    <w:rsid w:val="00FA0B7E"/>
    <w:rsid w:val="00FA0D50"/>
    <w:rsid w:val="00FA0E56"/>
    <w:rsid w:val="00FA1C51"/>
    <w:rsid w:val="00FA2117"/>
    <w:rsid w:val="00FA23BC"/>
    <w:rsid w:val="00FA2972"/>
    <w:rsid w:val="00FA2A8E"/>
    <w:rsid w:val="00FA2AC5"/>
    <w:rsid w:val="00FA3139"/>
    <w:rsid w:val="00FA3751"/>
    <w:rsid w:val="00FA43BF"/>
    <w:rsid w:val="00FA47F2"/>
    <w:rsid w:val="00FA49DF"/>
    <w:rsid w:val="00FA4A80"/>
    <w:rsid w:val="00FA51A3"/>
    <w:rsid w:val="00FA55CF"/>
    <w:rsid w:val="00FA634D"/>
    <w:rsid w:val="00FA6729"/>
    <w:rsid w:val="00FA6C33"/>
    <w:rsid w:val="00FA71F6"/>
    <w:rsid w:val="00FA75A1"/>
    <w:rsid w:val="00FB02E2"/>
    <w:rsid w:val="00FB099C"/>
    <w:rsid w:val="00FB0E11"/>
    <w:rsid w:val="00FB0F7A"/>
    <w:rsid w:val="00FB133E"/>
    <w:rsid w:val="00FB1CEC"/>
    <w:rsid w:val="00FB2BF3"/>
    <w:rsid w:val="00FB3B88"/>
    <w:rsid w:val="00FB438B"/>
    <w:rsid w:val="00FB478E"/>
    <w:rsid w:val="00FB4797"/>
    <w:rsid w:val="00FB4F74"/>
    <w:rsid w:val="00FB54F7"/>
    <w:rsid w:val="00FB5851"/>
    <w:rsid w:val="00FB5A31"/>
    <w:rsid w:val="00FB5BE9"/>
    <w:rsid w:val="00FB5C05"/>
    <w:rsid w:val="00FB5D10"/>
    <w:rsid w:val="00FB5E4B"/>
    <w:rsid w:val="00FB62F9"/>
    <w:rsid w:val="00FB7178"/>
    <w:rsid w:val="00FB7FF9"/>
    <w:rsid w:val="00FC02B6"/>
    <w:rsid w:val="00FC02C6"/>
    <w:rsid w:val="00FC02D6"/>
    <w:rsid w:val="00FC03C5"/>
    <w:rsid w:val="00FC2081"/>
    <w:rsid w:val="00FC20AF"/>
    <w:rsid w:val="00FC2664"/>
    <w:rsid w:val="00FC2809"/>
    <w:rsid w:val="00FC4662"/>
    <w:rsid w:val="00FC4DFA"/>
    <w:rsid w:val="00FC4FAB"/>
    <w:rsid w:val="00FC54AD"/>
    <w:rsid w:val="00FC5868"/>
    <w:rsid w:val="00FC5DB7"/>
    <w:rsid w:val="00FC6163"/>
    <w:rsid w:val="00FC6D8C"/>
    <w:rsid w:val="00FC6EE1"/>
    <w:rsid w:val="00FC7186"/>
    <w:rsid w:val="00FC7A82"/>
    <w:rsid w:val="00FC7A8B"/>
    <w:rsid w:val="00FC7F66"/>
    <w:rsid w:val="00FD03DB"/>
    <w:rsid w:val="00FD052F"/>
    <w:rsid w:val="00FD05CD"/>
    <w:rsid w:val="00FD0B0E"/>
    <w:rsid w:val="00FD0FC9"/>
    <w:rsid w:val="00FD13D9"/>
    <w:rsid w:val="00FD18CE"/>
    <w:rsid w:val="00FD19A3"/>
    <w:rsid w:val="00FD1C13"/>
    <w:rsid w:val="00FD1F41"/>
    <w:rsid w:val="00FD2083"/>
    <w:rsid w:val="00FD28FA"/>
    <w:rsid w:val="00FD33FD"/>
    <w:rsid w:val="00FD3682"/>
    <w:rsid w:val="00FD392E"/>
    <w:rsid w:val="00FD4646"/>
    <w:rsid w:val="00FD4EF3"/>
    <w:rsid w:val="00FD61AD"/>
    <w:rsid w:val="00FD6BDB"/>
    <w:rsid w:val="00FD6C6E"/>
    <w:rsid w:val="00FD6D86"/>
    <w:rsid w:val="00FD6E4C"/>
    <w:rsid w:val="00FD6EFA"/>
    <w:rsid w:val="00FD7823"/>
    <w:rsid w:val="00FE0026"/>
    <w:rsid w:val="00FE00C0"/>
    <w:rsid w:val="00FE03EA"/>
    <w:rsid w:val="00FE0EF9"/>
    <w:rsid w:val="00FE138E"/>
    <w:rsid w:val="00FE1B2E"/>
    <w:rsid w:val="00FE30C9"/>
    <w:rsid w:val="00FE4438"/>
    <w:rsid w:val="00FE4D95"/>
    <w:rsid w:val="00FE560B"/>
    <w:rsid w:val="00FE5B8F"/>
    <w:rsid w:val="00FE5F65"/>
    <w:rsid w:val="00FE63BE"/>
    <w:rsid w:val="00FE6607"/>
    <w:rsid w:val="00FE6764"/>
    <w:rsid w:val="00FE75DA"/>
    <w:rsid w:val="00FE7A7C"/>
    <w:rsid w:val="00FE7EFA"/>
    <w:rsid w:val="00FF114D"/>
    <w:rsid w:val="00FF13BE"/>
    <w:rsid w:val="00FF1641"/>
    <w:rsid w:val="00FF1CAF"/>
    <w:rsid w:val="00FF2B2D"/>
    <w:rsid w:val="00FF2B37"/>
    <w:rsid w:val="00FF2B83"/>
    <w:rsid w:val="00FF2E84"/>
    <w:rsid w:val="00FF2ECA"/>
    <w:rsid w:val="00FF2FB4"/>
    <w:rsid w:val="00FF3367"/>
    <w:rsid w:val="00FF420B"/>
    <w:rsid w:val="00FF4302"/>
    <w:rsid w:val="00FF4757"/>
    <w:rsid w:val="00FF4CE5"/>
    <w:rsid w:val="00FF4D9B"/>
    <w:rsid w:val="00FF5287"/>
    <w:rsid w:val="00FF53BC"/>
    <w:rsid w:val="00FF556E"/>
    <w:rsid w:val="00FF5C56"/>
    <w:rsid w:val="00FF60A3"/>
    <w:rsid w:val="00FF730C"/>
    <w:rsid w:val="00FF73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1B53A7"/>
  <w15:docId w15:val="{FEECC178-C05F-4CFE-A070-8BD0E73EC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9" w:qFormat="1"/>
    <w:lsdException w:name="heading 1" w:uiPriority="0"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1" w:unhideWhenUsed="1" w:qFormat="1"/>
    <w:lsdException w:name="heading 6" w:semiHidden="1" w:uiPriority="5" w:unhideWhenUsed="1" w:qFormat="1"/>
    <w:lsdException w:name="heading 7" w:semiHidden="1" w:uiPriority="5" w:unhideWhenUsed="1"/>
    <w:lsdException w:name="heading 8" w:semiHidden="1" w:uiPriority="5"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unhideWhenUsed="1"/>
    <w:lsdException w:name="toc 6" w:semiHidden="1" w:uiPriority="19" w:unhideWhenUsed="1"/>
    <w:lsdException w:name="toc 7" w:semiHidden="1" w:uiPriority="19" w:unhideWhenUsed="1"/>
    <w:lsdException w:name="toc 8" w:semiHidden="1" w:uiPriority="19"/>
    <w:lsdException w:name="toc 9" w:semiHidden="1" w:uiPriority="19"/>
    <w:lsdException w:name="Normal Indent" w:semiHidden="1" w:unhideWhenUsed="1"/>
    <w:lsdException w:name="footnote text" w:semiHidden="1" w:uiPriority="19" w:unhideWhenUsed="1"/>
    <w:lsdException w:name="annotation text" w:semiHidden="1" w:uiPriority="49" w:unhideWhenUsed="1"/>
    <w:lsdException w:name="header" w:semiHidden="1" w:uiPriority="19" w:unhideWhenUsed="1"/>
    <w:lsdException w:name="footer" w:semiHidden="1" w:unhideWhenUsed="1"/>
    <w:lsdException w:name="index heading" w:semiHidden="1" w:unhideWhenUsed="1"/>
    <w:lsdException w:name="caption" w:semiHidden="1" w:uiPriority="49"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iPriority="49"/>
    <w:lsdException w:name="line number" w:semiHidden="1" w:unhideWhenUsed="1"/>
    <w:lsdException w:name="page number" w:semiHidden="1" w:uiPriority="1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49"/>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49" w:unhideWhenUsed="1"/>
    <w:lsdException w:name="Table Grid" w:uiPriority="0"/>
    <w:lsdException w:name="Placeholder Text" w:semiHidden="1"/>
    <w:lsdException w:name="No Spacing" w:semiHidden="1"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9"/>
    <w:qFormat/>
    <w:rsid w:val="007848A7"/>
    <w:pPr>
      <w:spacing w:after="240" w:line="240" w:lineRule="auto"/>
      <w:jc w:val="both"/>
    </w:pPr>
  </w:style>
  <w:style w:type="paragraph" w:styleId="Heading1">
    <w:name w:val="heading 1"/>
    <w:aliases w:val="Chapter Heading,Section,Chapter Hdg,AngleHead1,head,head Char,head Char Char,Section Char,Chapter Hdg Char,AngleHead1 Char,AngleHead1 Char Char,Heading 1 (EKOS),Section Cha,hea,Chapter Heading Char1,Heading,Report Heading"/>
    <w:next w:val="Heading5"/>
    <w:link w:val="Heading1Char"/>
    <w:qFormat/>
    <w:rsid w:val="00623429"/>
    <w:pPr>
      <w:keepNext/>
      <w:numPr>
        <w:numId w:val="33"/>
      </w:numPr>
      <w:spacing w:before="360" w:after="240" w:line="240" w:lineRule="auto"/>
      <w:ind w:left="1360" w:hanging="680"/>
      <w:outlineLvl w:val="0"/>
    </w:pPr>
    <w:rPr>
      <w:rFonts w:eastAsia="Yu Gothic UI"/>
      <w:b/>
      <w:color w:val="BF3B00" w:themeColor="accent6" w:themeShade="BF"/>
      <w:sz w:val="44"/>
      <w:szCs w:val="44"/>
    </w:rPr>
  </w:style>
  <w:style w:type="paragraph" w:styleId="Heading2">
    <w:name w:val="heading 2"/>
    <w:aliases w:val="Sub Head 1"/>
    <w:next w:val="Heading5"/>
    <w:link w:val="Heading2Char"/>
    <w:uiPriority w:val="2"/>
    <w:qFormat/>
    <w:rsid w:val="004F2ABA"/>
    <w:pPr>
      <w:keepNext/>
      <w:pBdr>
        <w:bottom w:val="single" w:sz="4" w:space="1" w:color="FF5000"/>
      </w:pBdr>
      <w:spacing w:before="240" w:after="120" w:line="240" w:lineRule="auto"/>
      <w:outlineLvl w:val="1"/>
    </w:pPr>
    <w:rPr>
      <w:rFonts w:eastAsia="Yu Gothic UI"/>
      <w:b/>
      <w:bCs/>
      <w:color w:val="052D3F"/>
      <w:sz w:val="36"/>
      <w:szCs w:val="36"/>
    </w:rPr>
  </w:style>
  <w:style w:type="paragraph" w:styleId="Heading3">
    <w:name w:val="heading 3"/>
    <w:aliases w:val="Sub Head 2"/>
    <w:basedOn w:val="Heading1"/>
    <w:next w:val="Heading5"/>
    <w:link w:val="Heading3Char"/>
    <w:uiPriority w:val="2"/>
    <w:qFormat/>
    <w:rsid w:val="00A32893"/>
    <w:pPr>
      <w:spacing w:before="240"/>
      <w:outlineLvl w:val="2"/>
    </w:pPr>
    <w:rPr>
      <w:iCs/>
      <w:sz w:val="28"/>
      <w:szCs w:val="28"/>
    </w:rPr>
  </w:style>
  <w:style w:type="paragraph" w:styleId="Heading4">
    <w:name w:val="heading 4"/>
    <w:aliases w:val="Subhead 3"/>
    <w:basedOn w:val="Heading3"/>
    <w:next w:val="Heading5"/>
    <w:link w:val="Heading4Char"/>
    <w:uiPriority w:val="2"/>
    <w:qFormat/>
    <w:rsid w:val="003A775E"/>
    <w:pPr>
      <w:numPr>
        <w:numId w:val="0"/>
      </w:numPr>
      <w:ind w:left="1037" w:hanging="357"/>
      <w:outlineLvl w:val="3"/>
    </w:pPr>
    <w:rPr>
      <w:bCs/>
      <w:sz w:val="22"/>
    </w:rPr>
  </w:style>
  <w:style w:type="paragraph" w:styleId="Heading5">
    <w:name w:val="heading 5"/>
    <w:aliases w:val="Paragraph Text"/>
    <w:basedOn w:val="Heading1"/>
    <w:link w:val="Heading5Char"/>
    <w:uiPriority w:val="1"/>
    <w:qFormat/>
    <w:rsid w:val="00F13356"/>
    <w:pPr>
      <w:keepNext w:val="0"/>
      <w:numPr>
        <w:numId w:val="0"/>
      </w:numPr>
      <w:spacing w:before="120" w:after="120"/>
      <w:jc w:val="both"/>
      <w:outlineLvl w:val="4"/>
    </w:pPr>
    <w:rPr>
      <w:b w:val="0"/>
      <w:color w:val="auto"/>
      <w:sz w:val="22"/>
    </w:rPr>
  </w:style>
  <w:style w:type="paragraph" w:styleId="Heading6">
    <w:name w:val="heading 6"/>
    <w:aliases w:val="level 1 bullet 1"/>
    <w:basedOn w:val="Heading5"/>
    <w:link w:val="Heading6Char"/>
    <w:uiPriority w:val="5"/>
    <w:qFormat/>
    <w:rsid w:val="00163F94"/>
    <w:pPr>
      <w:outlineLvl w:val="5"/>
    </w:pPr>
  </w:style>
  <w:style w:type="paragraph" w:styleId="Heading7">
    <w:name w:val="heading 7"/>
    <w:aliases w:val="Bullet 2"/>
    <w:link w:val="Heading7Char"/>
    <w:uiPriority w:val="5"/>
    <w:rsid w:val="00334597"/>
    <w:pPr>
      <w:spacing w:before="120" w:after="120" w:line="280" w:lineRule="atLeast"/>
      <w:jc w:val="both"/>
      <w:outlineLvl w:val="6"/>
    </w:pPr>
    <w:rPr>
      <w:rFonts w:eastAsia="Times New Roman"/>
    </w:rPr>
  </w:style>
  <w:style w:type="paragraph" w:styleId="Heading8">
    <w:name w:val="heading 8"/>
    <w:aliases w:val="Bullet 3,Do Not Use 8,Economics List (a),level 3 bullets,Legal Level 1.1.1."/>
    <w:link w:val="Heading8Char"/>
    <w:uiPriority w:val="5"/>
    <w:qFormat/>
    <w:rsid w:val="00C53C20"/>
    <w:pPr>
      <w:spacing w:before="180" w:after="180" w:line="240" w:lineRule="auto"/>
      <w:jc w:val="both"/>
      <w:outlineLvl w:val="7"/>
    </w:pPr>
    <w:rPr>
      <w:rFonts w:eastAsia="Times New Roman"/>
      <w:szCs w:val="44"/>
    </w:rPr>
  </w:style>
  <w:style w:type="paragraph" w:styleId="Heading9">
    <w:name w:val="heading 9"/>
    <w:aliases w:val="Bullet Heading,Do Not Use 9,Legal Level 1.1.1.1."/>
    <w:basedOn w:val="Normal"/>
    <w:next w:val="Heading6"/>
    <w:link w:val="Heading9Char"/>
    <w:uiPriority w:val="3"/>
    <w:qFormat/>
    <w:rsid w:val="00334597"/>
    <w:pPr>
      <w:spacing w:before="240" w:after="120" w:line="280" w:lineRule="atLeast"/>
      <w:outlineLvl w:val="8"/>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Section Char1,Chapter Hdg Char1,AngleHead1 Char1,head Char1,head Char Char1,head Char Char Char,Section Char Char,Chapter Hdg Char Char,AngleHead1 Char Char1,AngleHead1 Char Char Char,Heading 1 (EKOS) Char,hea Char"/>
    <w:basedOn w:val="DefaultParagraphFont"/>
    <w:link w:val="Heading1"/>
    <w:rsid w:val="00623429"/>
    <w:rPr>
      <w:rFonts w:eastAsia="Yu Gothic UI"/>
      <w:b/>
      <w:color w:val="BF3B00" w:themeColor="accent6" w:themeShade="BF"/>
      <w:sz w:val="44"/>
      <w:szCs w:val="44"/>
    </w:rPr>
  </w:style>
  <w:style w:type="paragraph" w:customStyle="1" w:styleId="PageHeader">
    <w:name w:val="Page Header"/>
    <w:basedOn w:val="Heading1"/>
    <w:uiPriority w:val="19"/>
    <w:semiHidden/>
    <w:qFormat/>
    <w:rsid w:val="00AA253D"/>
    <w:pPr>
      <w:pageBreakBefore/>
      <w:framePr w:w="9072" w:wrap="around" w:vAnchor="page" w:hAnchor="text" w:y="852"/>
      <w:numPr>
        <w:numId w:val="0"/>
      </w:numPr>
      <w:pBdr>
        <w:top w:val="single" w:sz="4" w:space="1" w:color="auto"/>
      </w:pBdr>
      <w:spacing w:before="0" w:line="720" w:lineRule="atLeast"/>
    </w:pPr>
    <w:rPr>
      <w:sz w:val="60"/>
    </w:rPr>
  </w:style>
  <w:style w:type="character" w:customStyle="1" w:styleId="Heading2Char">
    <w:name w:val="Heading 2 Char"/>
    <w:aliases w:val="Sub Head 1 Char"/>
    <w:link w:val="Heading2"/>
    <w:uiPriority w:val="2"/>
    <w:rsid w:val="004F2ABA"/>
    <w:rPr>
      <w:rFonts w:eastAsia="Yu Gothic UI"/>
      <w:b/>
      <w:bCs/>
      <w:color w:val="052D3F"/>
      <w:sz w:val="36"/>
      <w:szCs w:val="36"/>
    </w:rPr>
  </w:style>
  <w:style w:type="character" w:customStyle="1" w:styleId="Heading3Char">
    <w:name w:val="Heading 3 Char"/>
    <w:aliases w:val="Sub Head 2 Char"/>
    <w:link w:val="Heading3"/>
    <w:uiPriority w:val="2"/>
    <w:rsid w:val="00A32893"/>
    <w:rPr>
      <w:rFonts w:eastAsia="Yu Gothic UI"/>
      <w:b/>
      <w:iCs/>
      <w:color w:val="BF3B00" w:themeColor="accent6" w:themeShade="BF"/>
      <w:sz w:val="28"/>
      <w:szCs w:val="28"/>
    </w:rPr>
  </w:style>
  <w:style w:type="character" w:customStyle="1" w:styleId="Heading4Char">
    <w:name w:val="Heading 4 Char"/>
    <w:aliases w:val="Subhead 3 Char"/>
    <w:basedOn w:val="DefaultParagraphFont"/>
    <w:link w:val="Heading4"/>
    <w:uiPriority w:val="2"/>
    <w:rsid w:val="003A775E"/>
    <w:rPr>
      <w:rFonts w:eastAsia="Yu Gothic UI"/>
      <w:b/>
      <w:bCs/>
      <w:iCs/>
      <w:color w:val="BF3B00" w:themeColor="accent6" w:themeShade="BF"/>
      <w:szCs w:val="28"/>
    </w:rPr>
  </w:style>
  <w:style w:type="paragraph" w:styleId="Header">
    <w:name w:val="header"/>
    <w:basedOn w:val="Normal"/>
    <w:link w:val="HeaderChar"/>
    <w:uiPriority w:val="19"/>
    <w:rsid w:val="00163F94"/>
    <w:pPr>
      <w:tabs>
        <w:tab w:val="center" w:pos="4321"/>
        <w:tab w:val="right" w:pos="8641"/>
      </w:tabs>
      <w:jc w:val="center"/>
    </w:pPr>
    <w:rPr>
      <w:rFonts w:cs="Tahoma"/>
      <w:bCs/>
      <w:color w:val="74818C"/>
      <w:sz w:val="18"/>
      <w:szCs w:val="22"/>
    </w:rPr>
  </w:style>
  <w:style w:type="character" w:customStyle="1" w:styleId="HeaderChar">
    <w:name w:val="Header Char"/>
    <w:basedOn w:val="DefaultParagraphFont"/>
    <w:link w:val="Header"/>
    <w:uiPriority w:val="19"/>
    <w:rsid w:val="00163F94"/>
    <w:rPr>
      <w:rFonts w:ascii="Yu Gothic UI" w:eastAsia="Yu Gothic UI" w:hAnsi="Yu Gothic UI" w:cs="Tahoma"/>
      <w:bCs/>
      <w:color w:val="74818C"/>
      <w:sz w:val="18"/>
      <w:szCs w:val="22"/>
    </w:rPr>
  </w:style>
  <w:style w:type="paragraph" w:styleId="Footer">
    <w:name w:val="footer"/>
    <w:basedOn w:val="Normal"/>
    <w:link w:val="FooterChar"/>
    <w:uiPriority w:val="99"/>
    <w:rsid w:val="00163F94"/>
    <w:pPr>
      <w:tabs>
        <w:tab w:val="center" w:pos="5046"/>
      </w:tabs>
      <w:spacing w:after="0" w:line="240" w:lineRule="atLeast"/>
      <w:jc w:val="center"/>
    </w:pPr>
    <w:rPr>
      <w:snapToGrid w:val="0"/>
      <w:color w:val="74818C"/>
    </w:rPr>
  </w:style>
  <w:style w:type="character" w:customStyle="1" w:styleId="FooterChar">
    <w:name w:val="Footer Char"/>
    <w:basedOn w:val="DefaultParagraphFont"/>
    <w:link w:val="Footer"/>
    <w:uiPriority w:val="99"/>
    <w:rsid w:val="00163F94"/>
    <w:rPr>
      <w:rFonts w:ascii="Yu Gothic UI" w:eastAsia="Yu Gothic UI" w:hAnsi="Yu Gothic UI" w:cs="Times New Roman"/>
      <w:snapToGrid w:val="0"/>
      <w:color w:val="74818C"/>
      <w:sz w:val="22"/>
    </w:rPr>
  </w:style>
  <w:style w:type="paragraph" w:styleId="ListParagraph">
    <w:name w:val="List Paragraph"/>
    <w:basedOn w:val="Normal"/>
    <w:uiPriority w:val="34"/>
    <w:qFormat/>
    <w:rsid w:val="00163F94"/>
    <w:pPr>
      <w:spacing w:after="200" w:line="276" w:lineRule="auto"/>
      <w:ind w:left="720"/>
      <w:contextualSpacing/>
      <w:jc w:val="left"/>
    </w:pPr>
    <w:rPr>
      <w:rFonts w:cstheme="minorBidi"/>
      <w:sz w:val="24"/>
      <w:szCs w:val="22"/>
    </w:rPr>
  </w:style>
  <w:style w:type="numbering" w:customStyle="1" w:styleId="NumbLstNumb">
    <w:name w:val="NumbLstNumb"/>
    <w:uiPriority w:val="99"/>
    <w:rsid w:val="00163F94"/>
    <w:pPr>
      <w:numPr>
        <w:numId w:val="18"/>
      </w:numPr>
    </w:pPr>
  </w:style>
  <w:style w:type="numbering" w:customStyle="1" w:styleId="NumbLstBullet">
    <w:name w:val="NumbLstBullet"/>
    <w:uiPriority w:val="99"/>
    <w:rsid w:val="00163F94"/>
    <w:pPr>
      <w:numPr>
        <w:numId w:val="13"/>
      </w:numPr>
    </w:pPr>
  </w:style>
  <w:style w:type="table" w:styleId="TableGrid">
    <w:name w:val="Table Grid"/>
    <w:basedOn w:val="TableNormal"/>
    <w:rsid w:val="004F2ABA"/>
    <w:pPr>
      <w:spacing w:after="0" w:line="240" w:lineRule="auto"/>
      <w:jc w:val="right"/>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Unicode MS" w:hAnsi="Arial Unicode MS"/>
        <w:b/>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3D6017"/>
      </w:tcPr>
    </w:tblStylePr>
    <w:tblStylePr w:type="firstCol">
      <w:pPr>
        <w:jc w:val="left"/>
      </w:pPr>
    </w:tblStylePr>
  </w:style>
  <w:style w:type="paragraph" w:customStyle="1" w:styleId="Notes">
    <w:name w:val="Notes"/>
    <w:basedOn w:val="Normal"/>
    <w:next w:val="Normal"/>
    <w:uiPriority w:val="19"/>
    <w:semiHidden/>
    <w:qFormat/>
    <w:rsid w:val="00163F94"/>
    <w:pPr>
      <w:spacing w:before="100" w:line="200" w:lineRule="atLeast"/>
    </w:pPr>
    <w:rPr>
      <w:sz w:val="16"/>
    </w:rPr>
  </w:style>
  <w:style w:type="paragraph" w:customStyle="1" w:styleId="NormalNoSpace">
    <w:name w:val="NormalNoSpace"/>
    <w:basedOn w:val="Normal"/>
    <w:uiPriority w:val="19"/>
    <w:qFormat/>
    <w:rsid w:val="00163F94"/>
    <w:pPr>
      <w:spacing w:after="0"/>
    </w:pPr>
  </w:style>
  <w:style w:type="paragraph" w:customStyle="1" w:styleId="FigureTitle">
    <w:name w:val="Figure Title"/>
    <w:basedOn w:val="Normal"/>
    <w:next w:val="Normal"/>
    <w:uiPriority w:val="19"/>
    <w:qFormat/>
    <w:rsid w:val="00583609"/>
    <w:pPr>
      <w:keepNext/>
      <w:spacing w:before="40" w:after="40"/>
      <w:jc w:val="left"/>
    </w:pPr>
  </w:style>
  <w:style w:type="paragraph" w:customStyle="1" w:styleId="BodyText">
    <w:name w:val="BodyText"/>
    <w:basedOn w:val="Normal"/>
    <w:uiPriority w:val="49"/>
    <w:semiHidden/>
    <w:qFormat/>
    <w:rsid w:val="00163F94"/>
    <w:pPr>
      <w:ind w:left="680"/>
    </w:pPr>
    <w:rPr>
      <w:rFonts w:cs="HelveticaNeue-Light"/>
    </w:rPr>
  </w:style>
  <w:style w:type="numbering" w:customStyle="1" w:styleId="NumbLstMain">
    <w:name w:val="NumbLstMain"/>
    <w:uiPriority w:val="99"/>
    <w:rsid w:val="00583609"/>
    <w:pPr>
      <w:numPr>
        <w:numId w:val="17"/>
      </w:numPr>
    </w:pPr>
  </w:style>
  <w:style w:type="paragraph" w:customStyle="1" w:styleId="PageHeaderNoToc">
    <w:name w:val="Page Header NoToc"/>
    <w:basedOn w:val="PageHeader"/>
    <w:uiPriority w:val="19"/>
    <w:semiHidden/>
    <w:qFormat/>
    <w:rsid w:val="00163F94"/>
    <w:pPr>
      <w:framePr w:wrap="around"/>
    </w:pPr>
  </w:style>
  <w:style w:type="paragraph" w:customStyle="1" w:styleId="AppendixHeading2">
    <w:name w:val="Appendix Heading 2"/>
    <w:basedOn w:val="Heading2"/>
    <w:next w:val="AppendixHeading5"/>
    <w:uiPriority w:val="18"/>
    <w:qFormat/>
    <w:rsid w:val="00163F94"/>
    <w:pPr>
      <w:ind w:left="680"/>
    </w:pPr>
  </w:style>
  <w:style w:type="numbering" w:customStyle="1" w:styleId="NumbLstAnnex">
    <w:name w:val="NumbLstAnnex"/>
    <w:uiPriority w:val="99"/>
    <w:rsid w:val="00163F94"/>
    <w:pPr>
      <w:numPr>
        <w:numId w:val="12"/>
      </w:numPr>
    </w:pPr>
  </w:style>
  <w:style w:type="paragraph" w:styleId="TOC1">
    <w:name w:val="toc 1"/>
    <w:basedOn w:val="Normal"/>
    <w:next w:val="Normal"/>
    <w:uiPriority w:val="39"/>
    <w:rsid w:val="000F1ECD"/>
    <w:pPr>
      <w:pBdr>
        <w:top w:val="single" w:sz="8" w:space="6" w:color="FF5000"/>
        <w:between w:val="single" w:sz="8" w:space="6" w:color="FF5000"/>
      </w:pBdr>
      <w:tabs>
        <w:tab w:val="left" w:pos="1361"/>
        <w:tab w:val="right" w:pos="9412"/>
      </w:tabs>
      <w:spacing w:before="80" w:after="80"/>
      <w:ind w:left="680"/>
      <w:jc w:val="left"/>
    </w:pPr>
    <w:rPr>
      <w:rFonts w:ascii="Source Sans Pro" w:hAnsi="Source Sans Pro"/>
      <w:b/>
      <w:bCs/>
      <w:color w:val="052D3F"/>
      <w:szCs w:val="22"/>
    </w:rPr>
  </w:style>
  <w:style w:type="paragraph" w:styleId="TOC2">
    <w:name w:val="toc 2"/>
    <w:basedOn w:val="Normal"/>
    <w:next w:val="Normal"/>
    <w:autoRedefine/>
    <w:uiPriority w:val="39"/>
    <w:rsid w:val="00163F94"/>
    <w:pPr>
      <w:tabs>
        <w:tab w:val="right" w:pos="9405"/>
      </w:tabs>
      <w:spacing w:before="120" w:after="120"/>
      <w:ind w:left="1361"/>
    </w:pPr>
    <w:rPr>
      <w:color w:val="052D3F"/>
    </w:rPr>
  </w:style>
  <w:style w:type="paragraph" w:styleId="TOC3">
    <w:name w:val="toc 3"/>
    <w:basedOn w:val="Normal"/>
    <w:next w:val="Normal"/>
    <w:autoRedefine/>
    <w:uiPriority w:val="39"/>
    <w:semiHidden/>
    <w:rsid w:val="00163F94"/>
    <w:pPr>
      <w:tabs>
        <w:tab w:val="right" w:pos="9405"/>
      </w:tabs>
      <w:spacing w:after="0"/>
      <w:ind w:left="1361"/>
    </w:pPr>
    <w:rPr>
      <w:iCs/>
      <w:color w:val="052D3F"/>
    </w:rPr>
  </w:style>
  <w:style w:type="character" w:styleId="Hyperlink">
    <w:name w:val="Hyperlink"/>
    <w:uiPriority w:val="99"/>
    <w:rsid w:val="00334597"/>
    <w:rPr>
      <w:rFonts w:ascii="Arial" w:hAnsi="Arial"/>
      <w:color w:val="0000FF"/>
      <w:u w:val="single"/>
    </w:rPr>
  </w:style>
  <w:style w:type="paragraph" w:styleId="TOC5">
    <w:name w:val="toc 5"/>
    <w:basedOn w:val="Normal"/>
    <w:next w:val="Normal"/>
    <w:autoRedefine/>
    <w:uiPriority w:val="39"/>
    <w:rsid w:val="008D76F1"/>
    <w:pPr>
      <w:pBdr>
        <w:top w:val="single" w:sz="4" w:space="6" w:color="FF5000"/>
        <w:between w:val="single" w:sz="4" w:space="6" w:color="FF5000"/>
      </w:pBdr>
      <w:tabs>
        <w:tab w:val="left" w:pos="2380"/>
        <w:tab w:val="right" w:pos="9412"/>
      </w:tabs>
      <w:spacing w:before="120" w:after="120"/>
      <w:ind w:left="680" w:right="198"/>
    </w:pPr>
    <w:rPr>
      <w:rFonts w:ascii="Source Sans Pro" w:hAnsi="Source Sans Pro"/>
      <w:b/>
      <w:noProof/>
      <w:color w:val="052D3F"/>
      <w:sz w:val="32"/>
      <w:szCs w:val="18"/>
    </w:rPr>
  </w:style>
  <w:style w:type="paragraph" w:styleId="TOC6">
    <w:name w:val="toc 6"/>
    <w:basedOn w:val="Normal"/>
    <w:next w:val="Normal"/>
    <w:autoRedefine/>
    <w:uiPriority w:val="19"/>
    <w:semiHidden/>
    <w:rsid w:val="00163F94"/>
    <w:pPr>
      <w:ind w:left="1100"/>
    </w:pPr>
    <w:rPr>
      <w:sz w:val="18"/>
      <w:szCs w:val="18"/>
    </w:rPr>
  </w:style>
  <w:style w:type="paragraph" w:customStyle="1" w:styleId="Heading2NoToc">
    <w:name w:val="Heading 2NoToc"/>
    <w:basedOn w:val="Heading2"/>
    <w:uiPriority w:val="19"/>
    <w:semiHidden/>
    <w:qFormat/>
    <w:rsid w:val="00163F94"/>
    <w:pPr>
      <w:tabs>
        <w:tab w:val="num" w:pos="680"/>
      </w:tabs>
      <w:ind w:left="1360" w:hanging="680"/>
    </w:pPr>
  </w:style>
  <w:style w:type="paragraph" w:styleId="TOC7">
    <w:name w:val="toc 7"/>
    <w:basedOn w:val="Normal"/>
    <w:next w:val="Normal"/>
    <w:autoRedefine/>
    <w:uiPriority w:val="19"/>
    <w:semiHidden/>
    <w:rsid w:val="00163F94"/>
    <w:pPr>
      <w:ind w:left="1320"/>
    </w:pPr>
    <w:rPr>
      <w:sz w:val="18"/>
      <w:szCs w:val="18"/>
    </w:rPr>
  </w:style>
  <w:style w:type="paragraph" w:styleId="Title">
    <w:name w:val="Title"/>
    <w:basedOn w:val="Normal"/>
    <w:next w:val="Normal"/>
    <w:link w:val="TitleChar"/>
    <w:uiPriority w:val="19"/>
    <w:semiHidden/>
    <w:qFormat/>
    <w:rsid w:val="00163F94"/>
    <w:pPr>
      <w:spacing w:after="0" w:line="1280" w:lineRule="exact"/>
      <w:contextualSpacing/>
    </w:pPr>
    <w:rPr>
      <w:rFonts w:ascii="Arial Bold" w:eastAsiaTheme="majorEastAsia" w:hAnsi="Arial Bold" w:cstheme="majorBidi"/>
      <w:b/>
      <w:color w:val="FFFFFF" w:themeColor="background1"/>
      <w:spacing w:val="5"/>
      <w:kern w:val="28"/>
      <w:sz w:val="120"/>
      <w:szCs w:val="52"/>
      <w:lang w:val="en-AU"/>
    </w:rPr>
  </w:style>
  <w:style w:type="character" w:customStyle="1" w:styleId="TitleChar">
    <w:name w:val="Title Char"/>
    <w:basedOn w:val="DefaultParagraphFont"/>
    <w:link w:val="Title"/>
    <w:uiPriority w:val="19"/>
    <w:semiHidden/>
    <w:rsid w:val="00163F94"/>
    <w:rPr>
      <w:rFonts w:ascii="Arial Bold" w:eastAsiaTheme="majorEastAsia" w:hAnsi="Arial Bold" w:cstheme="majorBidi"/>
      <w:b/>
      <w:color w:val="FFFFFF" w:themeColor="background1"/>
      <w:spacing w:val="5"/>
      <w:kern w:val="28"/>
      <w:sz w:val="120"/>
      <w:szCs w:val="52"/>
      <w:lang w:val="en-AU"/>
    </w:rPr>
  </w:style>
  <w:style w:type="paragraph" w:styleId="Subtitle">
    <w:name w:val="Subtitle"/>
    <w:basedOn w:val="Normal"/>
    <w:next w:val="Normal"/>
    <w:link w:val="SubtitleChar"/>
    <w:uiPriority w:val="19"/>
    <w:semiHidden/>
    <w:qFormat/>
    <w:rsid w:val="00163F94"/>
    <w:pPr>
      <w:numPr>
        <w:ilvl w:val="1"/>
      </w:numPr>
      <w:spacing w:after="0" w:line="440" w:lineRule="exact"/>
    </w:pPr>
    <w:rPr>
      <w:rFonts w:eastAsiaTheme="majorEastAsia" w:cstheme="majorBidi"/>
      <w:b/>
      <w:iCs/>
      <w:color w:val="FFFFFF" w:themeColor="background1"/>
      <w:spacing w:val="15"/>
      <w:sz w:val="40"/>
      <w:szCs w:val="24"/>
      <w:lang w:val="en-AU"/>
    </w:rPr>
  </w:style>
  <w:style w:type="character" w:customStyle="1" w:styleId="SubtitleChar">
    <w:name w:val="Subtitle Char"/>
    <w:basedOn w:val="DefaultParagraphFont"/>
    <w:link w:val="Subtitle"/>
    <w:uiPriority w:val="19"/>
    <w:semiHidden/>
    <w:rsid w:val="00163F94"/>
    <w:rPr>
      <w:rFonts w:ascii="Yu Gothic UI" w:eastAsiaTheme="majorEastAsia" w:hAnsi="Yu Gothic UI" w:cstheme="majorBidi"/>
      <w:b/>
      <w:iCs/>
      <w:color w:val="FFFFFF" w:themeColor="background1"/>
      <w:spacing w:val="15"/>
      <w:sz w:val="40"/>
      <w:szCs w:val="24"/>
      <w:lang w:val="en-AU"/>
    </w:rPr>
  </w:style>
  <w:style w:type="paragraph" w:customStyle="1" w:styleId="Subtitle2">
    <w:name w:val="Subtitle 2"/>
    <w:basedOn w:val="Subtitle"/>
    <w:uiPriority w:val="19"/>
    <w:semiHidden/>
    <w:qFormat/>
    <w:rsid w:val="00163F94"/>
    <w:pPr>
      <w:spacing w:line="280" w:lineRule="exact"/>
    </w:pPr>
    <w:rPr>
      <w:b w:val="0"/>
      <w:sz w:val="24"/>
      <w:lang w:val="en-GB"/>
    </w:rPr>
  </w:style>
  <w:style w:type="paragraph" w:styleId="BalloonText">
    <w:name w:val="Balloon Text"/>
    <w:basedOn w:val="Normal"/>
    <w:link w:val="BalloonTextChar"/>
    <w:uiPriority w:val="49"/>
    <w:semiHidden/>
    <w:rsid w:val="00163F94"/>
    <w:rPr>
      <w:rFonts w:cs="Tahoma"/>
      <w:sz w:val="16"/>
      <w:szCs w:val="16"/>
    </w:rPr>
  </w:style>
  <w:style w:type="character" w:customStyle="1" w:styleId="BalloonTextChar">
    <w:name w:val="Balloon Text Char"/>
    <w:basedOn w:val="DefaultParagraphFont"/>
    <w:link w:val="BalloonText"/>
    <w:uiPriority w:val="49"/>
    <w:semiHidden/>
    <w:rsid w:val="006D3C3C"/>
    <w:rPr>
      <w:rFonts w:ascii="Yu Gothic UI" w:eastAsia="Yu Gothic UI" w:hAnsi="Yu Gothic UI" w:cs="Tahoma"/>
      <w:sz w:val="16"/>
      <w:szCs w:val="16"/>
    </w:rPr>
  </w:style>
  <w:style w:type="paragraph" w:customStyle="1" w:styleId="HeaderFirstPage">
    <w:name w:val="HeaderFirstPage"/>
    <w:basedOn w:val="Header"/>
    <w:uiPriority w:val="19"/>
    <w:semiHidden/>
    <w:qFormat/>
    <w:rsid w:val="00163F94"/>
    <w:pPr>
      <w:spacing w:after="2000"/>
    </w:pPr>
  </w:style>
  <w:style w:type="paragraph" w:customStyle="1" w:styleId="NormalNoSpaceBold">
    <w:name w:val="NormalNoSpaceBold"/>
    <w:basedOn w:val="NormalNoSpace"/>
    <w:uiPriority w:val="19"/>
    <w:semiHidden/>
    <w:qFormat/>
    <w:rsid w:val="00163F94"/>
    <w:rPr>
      <w:b/>
    </w:rPr>
  </w:style>
  <w:style w:type="paragraph" w:customStyle="1" w:styleId="Yours">
    <w:name w:val="Yours"/>
    <w:basedOn w:val="Normal"/>
    <w:uiPriority w:val="19"/>
    <w:semiHidden/>
    <w:qFormat/>
    <w:rsid w:val="00163F94"/>
    <w:pPr>
      <w:keepNext/>
      <w:spacing w:after="1520"/>
    </w:pPr>
  </w:style>
  <w:style w:type="paragraph" w:customStyle="1" w:styleId="ContactDetails">
    <w:name w:val="ContactDetails"/>
    <w:basedOn w:val="Normal"/>
    <w:next w:val="Normal"/>
    <w:uiPriority w:val="49"/>
    <w:semiHidden/>
    <w:qFormat/>
    <w:rsid w:val="00163F94"/>
    <w:pPr>
      <w:spacing w:before="120" w:after="120"/>
      <w:contextualSpacing/>
    </w:pPr>
  </w:style>
  <w:style w:type="paragraph" w:customStyle="1" w:styleId="Enclosures">
    <w:name w:val="Enclosures"/>
    <w:basedOn w:val="Normal"/>
    <w:next w:val="Normal"/>
    <w:uiPriority w:val="49"/>
    <w:semiHidden/>
    <w:qFormat/>
    <w:rsid w:val="00163F94"/>
    <w:pPr>
      <w:tabs>
        <w:tab w:val="left" w:pos="1021"/>
      </w:tabs>
      <w:ind w:left="1021" w:hanging="1021"/>
    </w:pPr>
  </w:style>
  <w:style w:type="paragraph" w:customStyle="1" w:styleId="FooterPageNo">
    <w:name w:val="FooterPageNo"/>
    <w:basedOn w:val="Footer"/>
    <w:uiPriority w:val="19"/>
    <w:semiHidden/>
    <w:qFormat/>
    <w:rsid w:val="00163F94"/>
    <w:pPr>
      <w:tabs>
        <w:tab w:val="right" w:pos="8732"/>
      </w:tabs>
    </w:pPr>
    <w:rPr>
      <w:sz w:val="12"/>
    </w:rPr>
  </w:style>
  <w:style w:type="paragraph" w:styleId="FootnoteText">
    <w:name w:val="footnote text"/>
    <w:basedOn w:val="Normal"/>
    <w:link w:val="FootnoteTextChar"/>
    <w:uiPriority w:val="19"/>
    <w:semiHidden/>
    <w:rsid w:val="00163F94"/>
    <w:pPr>
      <w:overflowPunct w:val="0"/>
      <w:autoSpaceDE w:val="0"/>
      <w:autoSpaceDN w:val="0"/>
      <w:adjustRightInd w:val="0"/>
      <w:spacing w:after="120"/>
      <w:ind w:left="180" w:hanging="180"/>
      <w:textAlignment w:val="baseline"/>
    </w:pPr>
    <w:rPr>
      <w:sz w:val="18"/>
    </w:rPr>
  </w:style>
  <w:style w:type="character" w:customStyle="1" w:styleId="FootnoteTextChar">
    <w:name w:val="Footnote Text Char"/>
    <w:basedOn w:val="DefaultParagraphFont"/>
    <w:link w:val="FootnoteText"/>
    <w:uiPriority w:val="19"/>
    <w:semiHidden/>
    <w:rsid w:val="00163F94"/>
    <w:rPr>
      <w:rFonts w:ascii="Yu Gothic UI" w:eastAsia="Yu Gothic UI" w:hAnsi="Yu Gothic UI" w:cs="Times New Roman"/>
      <w:sz w:val="18"/>
    </w:rPr>
  </w:style>
  <w:style w:type="character" w:styleId="FootnoteReference">
    <w:name w:val="footnote reference"/>
    <w:uiPriority w:val="19"/>
    <w:semiHidden/>
    <w:rsid w:val="00163F94"/>
    <w:rPr>
      <w:vertAlign w:val="superscript"/>
    </w:rPr>
  </w:style>
  <w:style w:type="paragraph" w:styleId="CommentText">
    <w:name w:val="annotation text"/>
    <w:basedOn w:val="Normal"/>
    <w:link w:val="CommentTextChar"/>
    <w:uiPriority w:val="49"/>
    <w:semiHidden/>
    <w:rsid w:val="00163F94"/>
  </w:style>
  <w:style w:type="character" w:customStyle="1" w:styleId="CommentTextChar">
    <w:name w:val="Comment Text Char"/>
    <w:basedOn w:val="DefaultParagraphFont"/>
    <w:link w:val="CommentText"/>
    <w:uiPriority w:val="49"/>
    <w:semiHidden/>
    <w:rsid w:val="006D3C3C"/>
    <w:rPr>
      <w:rFonts w:ascii="Yu Gothic UI" w:eastAsia="Yu Gothic UI" w:hAnsi="Yu Gothic UI" w:cs="Times New Roman"/>
      <w:sz w:val="22"/>
    </w:rPr>
  </w:style>
  <w:style w:type="paragraph" w:styleId="Date">
    <w:name w:val="Date"/>
    <w:basedOn w:val="Normal"/>
    <w:next w:val="Normal"/>
    <w:link w:val="DateChar"/>
    <w:uiPriority w:val="99"/>
    <w:semiHidden/>
    <w:rsid w:val="00163F94"/>
  </w:style>
  <w:style w:type="character" w:customStyle="1" w:styleId="DateChar">
    <w:name w:val="Date Char"/>
    <w:basedOn w:val="DefaultParagraphFont"/>
    <w:link w:val="Date"/>
    <w:uiPriority w:val="99"/>
    <w:semiHidden/>
    <w:rsid w:val="00163F94"/>
    <w:rPr>
      <w:rFonts w:ascii="Yu Gothic UI" w:eastAsia="Yu Gothic UI" w:hAnsi="Yu Gothic UI" w:cs="Times New Roman"/>
      <w:sz w:val="22"/>
    </w:rPr>
  </w:style>
  <w:style w:type="paragraph" w:customStyle="1" w:styleId="TableTitle">
    <w:name w:val="Table Title"/>
    <w:basedOn w:val="Normal"/>
    <w:uiPriority w:val="11"/>
    <w:qFormat/>
    <w:rsid w:val="00583609"/>
    <w:pPr>
      <w:pBdr>
        <w:top w:val="single" w:sz="4" w:space="1" w:color="394A58"/>
      </w:pBdr>
      <w:shd w:val="clear" w:color="auto" w:fill="C9CED3"/>
      <w:spacing w:before="360" w:after="0"/>
      <w:ind w:right="28"/>
      <w:jc w:val="left"/>
    </w:pPr>
  </w:style>
  <w:style w:type="paragraph" w:customStyle="1" w:styleId="FigureSource">
    <w:name w:val="Figure Source"/>
    <w:basedOn w:val="TableText"/>
    <w:uiPriority w:val="19"/>
    <w:qFormat/>
    <w:rsid w:val="00163F94"/>
    <w:pPr>
      <w:spacing w:before="60" w:after="120"/>
      <w:ind w:left="57"/>
    </w:pPr>
    <w:rPr>
      <w:rFonts w:cs="Arial"/>
      <w:sz w:val="16"/>
      <w:szCs w:val="16"/>
    </w:rPr>
  </w:style>
  <w:style w:type="paragraph" w:customStyle="1" w:styleId="NormalIndent1">
    <w:name w:val="NormalIndent1"/>
    <w:basedOn w:val="Normal"/>
    <w:uiPriority w:val="19"/>
    <w:qFormat/>
    <w:rsid w:val="00163F94"/>
    <w:pPr>
      <w:ind w:left="340"/>
    </w:pPr>
  </w:style>
  <w:style w:type="paragraph" w:customStyle="1" w:styleId="NormalIndent2">
    <w:name w:val="NormalIndent2"/>
    <w:basedOn w:val="Normal"/>
    <w:uiPriority w:val="19"/>
    <w:qFormat/>
    <w:rsid w:val="00163F94"/>
    <w:pPr>
      <w:ind w:left="680"/>
    </w:pPr>
  </w:style>
  <w:style w:type="paragraph" w:styleId="Bibliography">
    <w:name w:val="Bibliography"/>
    <w:basedOn w:val="Normal"/>
    <w:next w:val="Normal"/>
    <w:uiPriority w:val="37"/>
    <w:semiHidden/>
    <w:unhideWhenUsed/>
    <w:rsid w:val="00163F94"/>
  </w:style>
  <w:style w:type="paragraph" w:styleId="BlockText">
    <w:name w:val="Block Text"/>
    <w:basedOn w:val="Normal"/>
    <w:uiPriority w:val="99"/>
    <w:semiHidden/>
    <w:unhideWhenUsed/>
    <w:rsid w:val="00163F94"/>
    <w:pPr>
      <w:pBdr>
        <w:top w:val="single" w:sz="2" w:space="10" w:color="052D3F" w:themeColor="accent1" w:frame="1"/>
        <w:left w:val="single" w:sz="2" w:space="10" w:color="052D3F" w:themeColor="accent1" w:frame="1"/>
        <w:bottom w:val="single" w:sz="2" w:space="10" w:color="052D3F" w:themeColor="accent1" w:frame="1"/>
        <w:right w:val="single" w:sz="2" w:space="10" w:color="052D3F" w:themeColor="accent1" w:frame="1"/>
      </w:pBdr>
      <w:ind w:left="1152" w:right="1152"/>
    </w:pPr>
    <w:rPr>
      <w:rFonts w:asciiTheme="minorHAnsi" w:eastAsiaTheme="minorEastAsia" w:hAnsiTheme="minorHAnsi"/>
      <w:i/>
      <w:iCs/>
      <w:color w:val="052D3F" w:themeColor="accent1"/>
    </w:rPr>
  </w:style>
  <w:style w:type="paragraph" w:styleId="BodyText0">
    <w:name w:val="Body Text"/>
    <w:aliases w:val="Body Text2"/>
    <w:basedOn w:val="Normal"/>
    <w:link w:val="BodyTextChar"/>
    <w:uiPriority w:val="49"/>
    <w:semiHidden/>
    <w:rsid w:val="00163F94"/>
    <w:rPr>
      <w:rFonts w:cs="Arial"/>
      <w:b/>
      <w:bCs/>
      <w:sz w:val="16"/>
    </w:rPr>
  </w:style>
  <w:style w:type="character" w:customStyle="1" w:styleId="BodyTextChar">
    <w:name w:val="Body Text Char"/>
    <w:aliases w:val="Body Text2 Char"/>
    <w:basedOn w:val="DefaultParagraphFont"/>
    <w:link w:val="BodyText0"/>
    <w:uiPriority w:val="49"/>
    <w:semiHidden/>
    <w:rsid w:val="006D3C3C"/>
    <w:rPr>
      <w:rFonts w:eastAsia="Yu Gothic UI" w:cs="Arial"/>
      <w:b/>
      <w:bCs/>
      <w:sz w:val="16"/>
    </w:rPr>
  </w:style>
  <w:style w:type="paragraph" w:styleId="BodyText2">
    <w:name w:val="Body Text 2"/>
    <w:basedOn w:val="Normal"/>
    <w:link w:val="BodyText2Char"/>
    <w:uiPriority w:val="49"/>
    <w:semiHidden/>
    <w:rsid w:val="00163F94"/>
    <w:pPr>
      <w:jc w:val="center"/>
    </w:pPr>
    <w:rPr>
      <w:rFonts w:cs="Arial"/>
      <w:b/>
      <w:bCs/>
      <w:sz w:val="16"/>
    </w:rPr>
  </w:style>
  <w:style w:type="character" w:customStyle="1" w:styleId="BodyText2Char">
    <w:name w:val="Body Text 2 Char"/>
    <w:basedOn w:val="DefaultParagraphFont"/>
    <w:link w:val="BodyText2"/>
    <w:uiPriority w:val="49"/>
    <w:semiHidden/>
    <w:rsid w:val="006D3C3C"/>
    <w:rPr>
      <w:rFonts w:eastAsia="Yu Gothic UI" w:cs="Arial"/>
      <w:b/>
      <w:bCs/>
      <w:sz w:val="16"/>
    </w:rPr>
  </w:style>
  <w:style w:type="paragraph" w:styleId="BodyText3">
    <w:name w:val="Body Text 3"/>
    <w:basedOn w:val="Normal"/>
    <w:link w:val="BodyText3Char"/>
    <w:uiPriority w:val="49"/>
    <w:semiHidden/>
    <w:rsid w:val="00163F94"/>
    <w:pPr>
      <w:jc w:val="center"/>
    </w:pPr>
    <w:rPr>
      <w:rFonts w:cs="Arial"/>
      <w:b/>
      <w:bCs/>
      <w:sz w:val="28"/>
    </w:rPr>
  </w:style>
  <w:style w:type="character" w:customStyle="1" w:styleId="BodyText3Char">
    <w:name w:val="Body Text 3 Char"/>
    <w:basedOn w:val="DefaultParagraphFont"/>
    <w:link w:val="BodyText3"/>
    <w:uiPriority w:val="49"/>
    <w:semiHidden/>
    <w:rsid w:val="006D3C3C"/>
    <w:rPr>
      <w:rFonts w:eastAsia="Yu Gothic UI" w:cs="Arial"/>
      <w:b/>
      <w:bCs/>
      <w:sz w:val="28"/>
    </w:rPr>
  </w:style>
  <w:style w:type="paragraph" w:styleId="BodyTextFirstIndent">
    <w:name w:val="Body Text First Indent"/>
    <w:basedOn w:val="BodyText0"/>
    <w:link w:val="BodyTextFirstIndentChar"/>
    <w:uiPriority w:val="99"/>
    <w:semiHidden/>
    <w:unhideWhenUsed/>
    <w:rsid w:val="00163F94"/>
    <w:pPr>
      <w:ind w:firstLine="360"/>
    </w:pPr>
  </w:style>
  <w:style w:type="character" w:customStyle="1" w:styleId="BodyTextFirstIndentChar">
    <w:name w:val="Body Text First Indent Char"/>
    <w:basedOn w:val="BodyTextChar"/>
    <w:link w:val="BodyTextFirstIndent"/>
    <w:uiPriority w:val="99"/>
    <w:semiHidden/>
    <w:rsid w:val="00163F94"/>
    <w:rPr>
      <w:rFonts w:eastAsia="Yu Gothic UI" w:cs="Arial"/>
      <w:b/>
      <w:bCs/>
      <w:sz w:val="16"/>
    </w:rPr>
  </w:style>
  <w:style w:type="paragraph" w:styleId="BodyTextIndent">
    <w:name w:val="Body Text Indent"/>
    <w:basedOn w:val="Normal"/>
    <w:link w:val="BodyTextIndentChar"/>
    <w:uiPriority w:val="49"/>
    <w:semiHidden/>
    <w:rsid w:val="00163F94"/>
    <w:pPr>
      <w:ind w:left="426"/>
    </w:pPr>
  </w:style>
  <w:style w:type="character" w:customStyle="1" w:styleId="BodyTextIndentChar">
    <w:name w:val="Body Text Indent Char"/>
    <w:basedOn w:val="DefaultParagraphFont"/>
    <w:link w:val="BodyTextIndent"/>
    <w:uiPriority w:val="49"/>
    <w:semiHidden/>
    <w:rsid w:val="006D3C3C"/>
    <w:rPr>
      <w:rFonts w:ascii="Yu Gothic UI" w:eastAsia="Yu Gothic UI" w:hAnsi="Yu Gothic UI" w:cs="Times New Roman"/>
      <w:sz w:val="22"/>
    </w:rPr>
  </w:style>
  <w:style w:type="paragraph" w:styleId="BodyTextFirstIndent2">
    <w:name w:val="Body Text First Indent 2"/>
    <w:basedOn w:val="BodyTextIndent"/>
    <w:link w:val="BodyTextFirstIndent2Char"/>
    <w:uiPriority w:val="99"/>
    <w:semiHidden/>
    <w:unhideWhenUsed/>
    <w:rsid w:val="00163F94"/>
    <w:pPr>
      <w:ind w:left="360" w:firstLine="360"/>
    </w:pPr>
  </w:style>
  <w:style w:type="character" w:customStyle="1" w:styleId="BodyTextFirstIndent2Char">
    <w:name w:val="Body Text First Indent 2 Char"/>
    <w:basedOn w:val="BodyTextIndentChar"/>
    <w:link w:val="BodyTextFirstIndent2"/>
    <w:uiPriority w:val="99"/>
    <w:semiHidden/>
    <w:rsid w:val="00163F94"/>
    <w:rPr>
      <w:rFonts w:ascii="Yu Gothic UI" w:eastAsia="Yu Gothic UI" w:hAnsi="Yu Gothic UI" w:cs="Times New Roman"/>
      <w:sz w:val="22"/>
    </w:rPr>
  </w:style>
  <w:style w:type="paragraph" w:styleId="BodyTextIndent2">
    <w:name w:val="Body Text Indent 2"/>
    <w:basedOn w:val="Normal"/>
    <w:link w:val="BodyTextIndent2Char"/>
    <w:uiPriority w:val="49"/>
    <w:semiHidden/>
    <w:rsid w:val="00163F94"/>
    <w:pPr>
      <w:ind w:left="426"/>
    </w:pPr>
  </w:style>
  <w:style w:type="character" w:customStyle="1" w:styleId="BodyTextIndent2Char">
    <w:name w:val="Body Text Indent 2 Char"/>
    <w:basedOn w:val="DefaultParagraphFont"/>
    <w:link w:val="BodyTextIndent2"/>
    <w:uiPriority w:val="49"/>
    <w:semiHidden/>
    <w:rsid w:val="006D3C3C"/>
    <w:rPr>
      <w:rFonts w:ascii="Yu Gothic UI" w:eastAsia="Yu Gothic UI" w:hAnsi="Yu Gothic UI" w:cs="Times New Roman"/>
      <w:sz w:val="22"/>
    </w:rPr>
  </w:style>
  <w:style w:type="paragraph" w:styleId="BodyTextIndent3">
    <w:name w:val="Body Text Indent 3"/>
    <w:basedOn w:val="Normal"/>
    <w:link w:val="BodyTextIndent3Char"/>
    <w:uiPriority w:val="49"/>
    <w:semiHidden/>
    <w:rsid w:val="00163F94"/>
    <w:pPr>
      <w:tabs>
        <w:tab w:val="num" w:pos="426"/>
      </w:tabs>
      <w:ind w:left="426"/>
    </w:pPr>
    <w:rPr>
      <w:szCs w:val="24"/>
    </w:rPr>
  </w:style>
  <w:style w:type="character" w:customStyle="1" w:styleId="BodyTextIndent3Char">
    <w:name w:val="Body Text Indent 3 Char"/>
    <w:basedOn w:val="DefaultParagraphFont"/>
    <w:link w:val="BodyTextIndent3"/>
    <w:uiPriority w:val="49"/>
    <w:semiHidden/>
    <w:rsid w:val="006D3C3C"/>
    <w:rPr>
      <w:rFonts w:ascii="Yu Gothic UI" w:eastAsia="Yu Gothic UI" w:hAnsi="Yu Gothic UI" w:cs="Times New Roman"/>
      <w:sz w:val="22"/>
      <w:szCs w:val="24"/>
    </w:rPr>
  </w:style>
  <w:style w:type="character" w:styleId="BookTitle">
    <w:name w:val="Book Title"/>
    <w:basedOn w:val="DefaultParagraphFont"/>
    <w:uiPriority w:val="33"/>
    <w:semiHidden/>
    <w:unhideWhenUsed/>
    <w:qFormat/>
    <w:rsid w:val="00163F94"/>
    <w:rPr>
      <w:b/>
      <w:bCs/>
      <w:smallCaps/>
      <w:spacing w:val="5"/>
    </w:rPr>
  </w:style>
  <w:style w:type="paragraph" w:styleId="Caption">
    <w:name w:val="caption"/>
    <w:basedOn w:val="TableText"/>
    <w:next w:val="Normal"/>
    <w:uiPriority w:val="49"/>
    <w:semiHidden/>
    <w:qFormat/>
    <w:rsid w:val="00163F94"/>
  </w:style>
  <w:style w:type="paragraph" w:styleId="Closing">
    <w:name w:val="Closing"/>
    <w:basedOn w:val="Normal"/>
    <w:link w:val="ClosingChar"/>
    <w:uiPriority w:val="99"/>
    <w:semiHidden/>
    <w:unhideWhenUsed/>
    <w:rsid w:val="00163F94"/>
    <w:pPr>
      <w:spacing w:after="0"/>
      <w:ind w:left="4252"/>
    </w:pPr>
  </w:style>
  <w:style w:type="character" w:customStyle="1" w:styleId="ClosingChar">
    <w:name w:val="Closing Char"/>
    <w:basedOn w:val="DefaultParagraphFont"/>
    <w:link w:val="Closing"/>
    <w:uiPriority w:val="99"/>
    <w:semiHidden/>
    <w:rsid w:val="00163F94"/>
    <w:rPr>
      <w:rFonts w:ascii="Yu Gothic UI" w:eastAsia="Yu Gothic UI" w:hAnsi="Yu Gothic UI" w:cs="Times New Roman"/>
      <w:sz w:val="22"/>
    </w:rPr>
  </w:style>
  <w:style w:type="table" w:styleId="ColorfulGrid">
    <w:name w:val="Colorful Grid"/>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CE0F8" w:themeFill="accent1" w:themeFillTint="33"/>
    </w:tcPr>
    <w:tblStylePr w:type="firstRow">
      <w:rPr>
        <w:b/>
        <w:bCs/>
      </w:rPr>
      <w:tblPr/>
      <w:tcPr>
        <w:shd w:val="clear" w:color="auto" w:fill="5BC2F2" w:themeFill="accent1" w:themeFillTint="66"/>
      </w:tcPr>
    </w:tblStylePr>
    <w:tblStylePr w:type="lastRow">
      <w:rPr>
        <w:b/>
        <w:bCs/>
        <w:color w:val="000000" w:themeColor="text1"/>
      </w:rPr>
      <w:tblPr/>
      <w:tcPr>
        <w:shd w:val="clear" w:color="auto" w:fill="5BC2F2" w:themeFill="accent1" w:themeFillTint="66"/>
      </w:tcPr>
    </w:tblStylePr>
    <w:tblStylePr w:type="firstCol">
      <w:rPr>
        <w:color w:val="FFFFFF" w:themeColor="background1"/>
      </w:rPr>
      <w:tblPr/>
      <w:tcPr>
        <w:shd w:val="clear" w:color="auto" w:fill="03212E" w:themeFill="accent1" w:themeFillShade="BF"/>
      </w:tcPr>
    </w:tblStylePr>
    <w:tblStylePr w:type="lastCol">
      <w:rPr>
        <w:color w:val="FFFFFF" w:themeColor="background1"/>
      </w:rPr>
      <w:tblPr/>
      <w:tcPr>
        <w:shd w:val="clear" w:color="auto" w:fill="03212E" w:themeFill="accent1" w:themeFillShade="BF"/>
      </w:tcPr>
    </w:tblStylePr>
    <w:tblStylePr w:type="band1Vert">
      <w:tblPr/>
      <w:tcPr>
        <w:shd w:val="clear" w:color="auto" w:fill="32B3EE" w:themeFill="accent1" w:themeFillTint="7F"/>
      </w:tcPr>
    </w:tblStylePr>
    <w:tblStylePr w:type="band1Horz">
      <w:tblPr/>
      <w:tcPr>
        <w:shd w:val="clear" w:color="auto" w:fill="32B3EE" w:themeFill="accent1" w:themeFillTint="7F"/>
      </w:tcPr>
    </w:tblStylePr>
  </w:style>
  <w:style w:type="table" w:styleId="ColorfulGrid-Accent2">
    <w:name w:val="Colorful Grid Accent 2"/>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E3F8" w:themeFill="accent2" w:themeFillTint="33"/>
    </w:tcPr>
    <w:tblStylePr w:type="firstRow">
      <w:rPr>
        <w:b/>
        <w:bCs/>
      </w:rPr>
      <w:tblPr/>
      <w:tcPr>
        <w:shd w:val="clear" w:color="auto" w:fill="68C8F2" w:themeFill="accent2" w:themeFillTint="66"/>
      </w:tcPr>
    </w:tblStylePr>
    <w:tblStylePr w:type="lastRow">
      <w:rPr>
        <w:b/>
        <w:bCs/>
        <w:color w:val="000000" w:themeColor="text1"/>
      </w:rPr>
      <w:tblPr/>
      <w:tcPr>
        <w:shd w:val="clear" w:color="auto" w:fill="68C8F2" w:themeFill="accent2" w:themeFillTint="66"/>
      </w:tcPr>
    </w:tblStylePr>
    <w:tblStylePr w:type="firstCol">
      <w:rPr>
        <w:color w:val="FFFFFF" w:themeColor="background1"/>
      </w:rPr>
      <w:tblPr/>
      <w:tcPr>
        <w:shd w:val="clear" w:color="auto" w:fill="063246" w:themeFill="accent2" w:themeFillShade="BF"/>
      </w:tcPr>
    </w:tblStylePr>
    <w:tblStylePr w:type="lastCol">
      <w:rPr>
        <w:color w:val="FFFFFF" w:themeColor="background1"/>
      </w:rPr>
      <w:tblPr/>
      <w:tcPr>
        <w:shd w:val="clear" w:color="auto" w:fill="063246" w:themeFill="accent2" w:themeFillShade="BF"/>
      </w:tcPr>
    </w:tblStylePr>
    <w:tblStylePr w:type="band1Vert">
      <w:tblPr/>
      <w:tcPr>
        <w:shd w:val="clear" w:color="auto" w:fill="43BAEF" w:themeFill="accent2" w:themeFillTint="7F"/>
      </w:tcPr>
    </w:tblStylePr>
    <w:tblStylePr w:type="band1Horz">
      <w:tblPr/>
      <w:tcPr>
        <w:shd w:val="clear" w:color="auto" w:fill="43BAEF" w:themeFill="accent2" w:themeFillTint="7F"/>
      </w:tcPr>
    </w:tblStylePr>
  </w:style>
  <w:style w:type="table" w:styleId="ColorfulGrid-Accent3">
    <w:name w:val="Colorful Grid Accent 3"/>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E2EB" w:themeFill="accent3" w:themeFillTint="33"/>
    </w:tcPr>
    <w:tblStylePr w:type="firstRow">
      <w:rPr>
        <w:b/>
        <w:bCs/>
      </w:rPr>
      <w:tblPr/>
      <w:tcPr>
        <w:shd w:val="clear" w:color="auto" w:fill="9EC6D7" w:themeFill="accent3" w:themeFillTint="66"/>
      </w:tcPr>
    </w:tblStylePr>
    <w:tblStylePr w:type="lastRow">
      <w:rPr>
        <w:b/>
        <w:bCs/>
        <w:color w:val="000000" w:themeColor="text1"/>
      </w:rPr>
      <w:tblPr/>
      <w:tcPr>
        <w:shd w:val="clear" w:color="auto" w:fill="9EC6D7" w:themeFill="accent3" w:themeFillTint="66"/>
      </w:tcPr>
    </w:tblStylePr>
    <w:tblStylePr w:type="firstCol">
      <w:rPr>
        <w:color w:val="FFFFFF" w:themeColor="background1"/>
      </w:rPr>
      <w:tblPr/>
      <w:tcPr>
        <w:shd w:val="clear" w:color="auto" w:fill="244A5A" w:themeFill="accent3" w:themeFillShade="BF"/>
      </w:tcPr>
    </w:tblStylePr>
    <w:tblStylePr w:type="lastCol">
      <w:rPr>
        <w:color w:val="FFFFFF" w:themeColor="background1"/>
      </w:rPr>
      <w:tblPr/>
      <w:tcPr>
        <w:shd w:val="clear" w:color="auto" w:fill="244A5A" w:themeFill="accent3" w:themeFillShade="BF"/>
      </w:tcPr>
    </w:tblStylePr>
    <w:tblStylePr w:type="band1Vert">
      <w:tblPr/>
      <w:tcPr>
        <w:shd w:val="clear" w:color="auto" w:fill="86B8CE" w:themeFill="accent3" w:themeFillTint="7F"/>
      </w:tcPr>
    </w:tblStylePr>
    <w:tblStylePr w:type="band1Horz">
      <w:tblPr/>
      <w:tcPr>
        <w:shd w:val="clear" w:color="auto" w:fill="86B8CE" w:themeFill="accent3" w:themeFillTint="7F"/>
      </w:tcPr>
    </w:tblStylePr>
  </w:style>
  <w:style w:type="table" w:styleId="ColorfulGrid-Accent4">
    <w:name w:val="Colorful Grid Accent 4"/>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CEF" w:themeFill="accent4" w:themeFillTint="33"/>
    </w:tcPr>
    <w:tblStylePr w:type="firstRow">
      <w:rPr>
        <w:b/>
        <w:bCs/>
      </w:rPr>
      <w:tblPr/>
      <w:tcPr>
        <w:shd w:val="clear" w:color="auto" w:fill="CDD9DF" w:themeFill="accent4" w:themeFillTint="66"/>
      </w:tcPr>
    </w:tblStylePr>
    <w:tblStylePr w:type="lastRow">
      <w:rPr>
        <w:b/>
        <w:bCs/>
        <w:color w:val="000000" w:themeColor="text1"/>
      </w:rPr>
      <w:tblPr/>
      <w:tcPr>
        <w:shd w:val="clear" w:color="auto" w:fill="CDD9DF" w:themeFill="accent4" w:themeFillTint="66"/>
      </w:tcPr>
    </w:tblStylePr>
    <w:tblStylePr w:type="firstCol">
      <w:rPr>
        <w:color w:val="FFFFFF" w:themeColor="background1"/>
      </w:rPr>
      <w:tblPr/>
      <w:tcPr>
        <w:shd w:val="clear" w:color="auto" w:fill="5A7C8B" w:themeFill="accent4" w:themeFillShade="BF"/>
      </w:tcPr>
    </w:tblStylePr>
    <w:tblStylePr w:type="lastCol">
      <w:rPr>
        <w:color w:val="FFFFFF" w:themeColor="background1"/>
      </w:rPr>
      <w:tblPr/>
      <w:tcPr>
        <w:shd w:val="clear" w:color="auto" w:fill="5A7C8B" w:themeFill="accent4" w:themeFillShade="BF"/>
      </w:tcPr>
    </w:tblStylePr>
    <w:tblStylePr w:type="band1Vert">
      <w:tblPr/>
      <w:tcPr>
        <w:shd w:val="clear" w:color="auto" w:fill="C1D0D7" w:themeFill="accent4" w:themeFillTint="7F"/>
      </w:tcPr>
    </w:tblStylePr>
    <w:tblStylePr w:type="band1Horz">
      <w:tblPr/>
      <w:tcPr>
        <w:shd w:val="clear" w:color="auto" w:fill="C1D0D7" w:themeFill="accent4" w:themeFillTint="7F"/>
      </w:tcPr>
    </w:tblStylePr>
  </w:style>
  <w:style w:type="table" w:styleId="ColorfulGrid-Accent5">
    <w:name w:val="Colorful Grid Accent 5"/>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F2F4" w:themeFill="accent5" w:themeFillTint="33"/>
    </w:tcPr>
    <w:tblStylePr w:type="firstRow">
      <w:rPr>
        <w:b/>
        <w:bCs/>
      </w:rPr>
      <w:tblPr/>
      <w:tcPr>
        <w:shd w:val="clear" w:color="auto" w:fill="DEE6E9" w:themeFill="accent5" w:themeFillTint="66"/>
      </w:tcPr>
    </w:tblStylePr>
    <w:tblStylePr w:type="lastRow">
      <w:rPr>
        <w:b/>
        <w:bCs/>
        <w:color w:val="000000" w:themeColor="text1"/>
      </w:rPr>
      <w:tblPr/>
      <w:tcPr>
        <w:shd w:val="clear" w:color="auto" w:fill="DEE6E9" w:themeFill="accent5" w:themeFillTint="66"/>
      </w:tcPr>
    </w:tblStylePr>
    <w:tblStylePr w:type="firstCol">
      <w:rPr>
        <w:color w:val="FFFFFF" w:themeColor="background1"/>
      </w:rPr>
      <w:tblPr/>
      <w:tcPr>
        <w:shd w:val="clear" w:color="auto" w:fill="7496A3" w:themeFill="accent5" w:themeFillShade="BF"/>
      </w:tcPr>
    </w:tblStylePr>
    <w:tblStylePr w:type="lastCol">
      <w:rPr>
        <w:color w:val="FFFFFF" w:themeColor="background1"/>
      </w:rPr>
      <w:tblPr/>
      <w:tcPr>
        <w:shd w:val="clear" w:color="auto" w:fill="7496A3" w:themeFill="accent5" w:themeFillShade="BF"/>
      </w:tcPr>
    </w:tblStylePr>
    <w:tblStylePr w:type="band1Vert">
      <w:tblPr/>
      <w:tcPr>
        <w:shd w:val="clear" w:color="auto" w:fill="D6DFE4" w:themeFill="accent5" w:themeFillTint="7F"/>
      </w:tcPr>
    </w:tblStylePr>
    <w:tblStylePr w:type="band1Horz">
      <w:tblPr/>
      <w:tcPr>
        <w:shd w:val="clear" w:color="auto" w:fill="D6DFE4" w:themeFill="accent5" w:themeFillTint="7F"/>
      </w:tcPr>
    </w:tblStylePr>
  </w:style>
  <w:style w:type="table" w:styleId="ColorfulGrid-Accent6">
    <w:name w:val="Colorful Grid Accent 6"/>
    <w:basedOn w:val="TableNormal"/>
    <w:uiPriority w:val="73"/>
    <w:rsid w:val="00163F9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CCC" w:themeFill="accent6" w:themeFillTint="33"/>
    </w:tcPr>
    <w:tblStylePr w:type="firstRow">
      <w:rPr>
        <w:b/>
        <w:bCs/>
      </w:rPr>
      <w:tblPr/>
      <w:tcPr>
        <w:shd w:val="clear" w:color="auto" w:fill="FFB999" w:themeFill="accent6" w:themeFillTint="66"/>
      </w:tcPr>
    </w:tblStylePr>
    <w:tblStylePr w:type="lastRow">
      <w:rPr>
        <w:b/>
        <w:bCs/>
        <w:color w:val="000000" w:themeColor="text1"/>
      </w:rPr>
      <w:tblPr/>
      <w:tcPr>
        <w:shd w:val="clear" w:color="auto" w:fill="FFB999" w:themeFill="accent6" w:themeFillTint="66"/>
      </w:tcPr>
    </w:tblStylePr>
    <w:tblStylePr w:type="firstCol">
      <w:rPr>
        <w:color w:val="FFFFFF" w:themeColor="background1"/>
      </w:rPr>
      <w:tblPr/>
      <w:tcPr>
        <w:shd w:val="clear" w:color="auto" w:fill="BF3B00" w:themeFill="accent6" w:themeFillShade="BF"/>
      </w:tcPr>
    </w:tblStylePr>
    <w:tblStylePr w:type="lastCol">
      <w:rPr>
        <w:color w:val="FFFFFF" w:themeColor="background1"/>
      </w:rPr>
      <w:tblPr/>
      <w:tcPr>
        <w:shd w:val="clear" w:color="auto" w:fill="BF3B00" w:themeFill="accent6" w:themeFillShade="BF"/>
      </w:tcPr>
    </w:tblStylePr>
    <w:tblStylePr w:type="band1Vert">
      <w:tblPr/>
      <w:tcPr>
        <w:shd w:val="clear" w:color="auto" w:fill="FFA780" w:themeFill="accent6" w:themeFillTint="7F"/>
      </w:tcPr>
    </w:tblStylePr>
    <w:tblStylePr w:type="band1Horz">
      <w:tblPr/>
      <w:tcPr>
        <w:shd w:val="clear" w:color="auto" w:fill="FFA780" w:themeFill="accent6" w:themeFillTint="7F"/>
      </w:tcPr>
    </w:tblStylePr>
  </w:style>
  <w:style w:type="table" w:styleId="ColorfulList">
    <w:name w:val="Colorful List"/>
    <w:basedOn w:val="TableNormal"/>
    <w:uiPriority w:val="72"/>
    <w:rsid w:val="00163F9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6354A" w:themeFill="accent2" w:themeFillShade="CC"/>
      </w:tcPr>
    </w:tblStylePr>
    <w:tblStylePr w:type="lastRow">
      <w:rPr>
        <w:b/>
        <w:bCs/>
        <w:color w:val="06354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63F94"/>
    <w:pPr>
      <w:spacing w:after="0" w:line="240" w:lineRule="auto"/>
    </w:pPr>
    <w:rPr>
      <w:color w:val="000000" w:themeColor="text1"/>
    </w:rPr>
    <w:tblPr>
      <w:tblStyleRowBandSize w:val="1"/>
      <w:tblStyleColBandSize w:val="1"/>
    </w:tblPr>
    <w:tcPr>
      <w:shd w:val="clear" w:color="auto" w:fill="D6F0FB" w:themeFill="accent1" w:themeFillTint="19"/>
    </w:tcPr>
    <w:tblStylePr w:type="firstRow">
      <w:rPr>
        <w:b/>
        <w:bCs/>
        <w:color w:val="FFFFFF" w:themeColor="background1"/>
      </w:rPr>
      <w:tblPr/>
      <w:tcPr>
        <w:tcBorders>
          <w:bottom w:val="single" w:sz="12" w:space="0" w:color="FFFFFF" w:themeColor="background1"/>
        </w:tcBorders>
        <w:shd w:val="clear" w:color="auto" w:fill="06354A" w:themeFill="accent2" w:themeFillShade="CC"/>
      </w:tcPr>
    </w:tblStylePr>
    <w:tblStylePr w:type="lastRow">
      <w:rPr>
        <w:b/>
        <w:bCs/>
        <w:color w:val="06354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D9F7" w:themeFill="accent1" w:themeFillTint="3F"/>
      </w:tcPr>
    </w:tblStylePr>
    <w:tblStylePr w:type="band1Horz">
      <w:tblPr/>
      <w:tcPr>
        <w:shd w:val="clear" w:color="auto" w:fill="ACE0F8" w:themeFill="accent1" w:themeFillTint="33"/>
      </w:tcPr>
    </w:tblStylePr>
  </w:style>
  <w:style w:type="table" w:styleId="ColorfulList-Accent2">
    <w:name w:val="Colorful List Accent 2"/>
    <w:basedOn w:val="TableNormal"/>
    <w:uiPriority w:val="72"/>
    <w:rsid w:val="00163F94"/>
    <w:pPr>
      <w:spacing w:after="0" w:line="240" w:lineRule="auto"/>
    </w:pPr>
    <w:rPr>
      <w:color w:val="000000" w:themeColor="text1"/>
    </w:rPr>
    <w:tblPr>
      <w:tblStyleRowBandSize w:val="1"/>
      <w:tblStyleColBandSize w:val="1"/>
    </w:tblPr>
    <w:tcPr>
      <w:shd w:val="clear" w:color="auto" w:fill="DAF1FC" w:themeFill="accent2" w:themeFillTint="19"/>
    </w:tcPr>
    <w:tblStylePr w:type="firstRow">
      <w:rPr>
        <w:b/>
        <w:bCs/>
        <w:color w:val="FFFFFF" w:themeColor="background1"/>
      </w:rPr>
      <w:tblPr/>
      <w:tcPr>
        <w:tcBorders>
          <w:bottom w:val="single" w:sz="12" w:space="0" w:color="FFFFFF" w:themeColor="background1"/>
        </w:tcBorders>
        <w:shd w:val="clear" w:color="auto" w:fill="06354A" w:themeFill="accent2" w:themeFillShade="CC"/>
      </w:tcPr>
    </w:tblStylePr>
    <w:tblStylePr w:type="lastRow">
      <w:rPr>
        <w:b/>
        <w:bCs/>
        <w:color w:val="06354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DDF7" w:themeFill="accent2" w:themeFillTint="3F"/>
      </w:tcPr>
    </w:tblStylePr>
    <w:tblStylePr w:type="band1Horz">
      <w:tblPr/>
      <w:tcPr>
        <w:shd w:val="clear" w:color="auto" w:fill="B3E3F8" w:themeFill="accent2" w:themeFillTint="33"/>
      </w:tcPr>
    </w:tblStylePr>
  </w:style>
  <w:style w:type="table" w:styleId="ColorfulList-Accent3">
    <w:name w:val="Colorful List Accent 3"/>
    <w:basedOn w:val="TableNormal"/>
    <w:uiPriority w:val="72"/>
    <w:rsid w:val="00163F94"/>
    <w:pPr>
      <w:spacing w:after="0" w:line="240" w:lineRule="auto"/>
    </w:pPr>
    <w:rPr>
      <w:color w:val="000000" w:themeColor="text1"/>
    </w:rPr>
    <w:tblPr>
      <w:tblStyleRowBandSize w:val="1"/>
      <w:tblStyleColBandSize w:val="1"/>
    </w:tblPr>
    <w:tcPr>
      <w:shd w:val="clear" w:color="auto" w:fill="E7F1F5" w:themeFill="accent3" w:themeFillTint="19"/>
    </w:tcPr>
    <w:tblStylePr w:type="firstRow">
      <w:rPr>
        <w:b/>
        <w:bCs/>
        <w:color w:val="FFFFFF" w:themeColor="background1"/>
      </w:rPr>
      <w:tblPr/>
      <w:tcPr>
        <w:tcBorders>
          <w:bottom w:val="single" w:sz="12" w:space="0" w:color="FFFFFF" w:themeColor="background1"/>
        </w:tcBorders>
        <w:shd w:val="clear" w:color="auto" w:fill="608494" w:themeFill="accent4" w:themeFillShade="CC"/>
      </w:tcPr>
    </w:tblStylePr>
    <w:tblStylePr w:type="lastRow">
      <w:rPr>
        <w:b/>
        <w:bCs/>
        <w:color w:val="60849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DBE6" w:themeFill="accent3" w:themeFillTint="3F"/>
      </w:tcPr>
    </w:tblStylePr>
    <w:tblStylePr w:type="band1Horz">
      <w:tblPr/>
      <w:tcPr>
        <w:shd w:val="clear" w:color="auto" w:fill="CEE2EB" w:themeFill="accent3" w:themeFillTint="33"/>
      </w:tcPr>
    </w:tblStylePr>
  </w:style>
  <w:style w:type="table" w:styleId="ColorfulList-Accent4">
    <w:name w:val="Colorful List Accent 4"/>
    <w:basedOn w:val="TableNormal"/>
    <w:uiPriority w:val="72"/>
    <w:rsid w:val="00163F94"/>
    <w:pPr>
      <w:spacing w:after="0" w:line="240" w:lineRule="auto"/>
    </w:pPr>
    <w:rPr>
      <w:color w:val="000000" w:themeColor="text1"/>
    </w:rPr>
    <w:tblPr>
      <w:tblStyleRowBandSize w:val="1"/>
      <w:tblStyleColBandSize w:val="1"/>
    </w:tblPr>
    <w:tcPr>
      <w:shd w:val="clear" w:color="auto" w:fill="F2F5F7" w:themeFill="accent4" w:themeFillTint="19"/>
    </w:tcPr>
    <w:tblStylePr w:type="firstRow">
      <w:rPr>
        <w:b/>
        <w:bCs/>
        <w:color w:val="FFFFFF" w:themeColor="background1"/>
      </w:rPr>
      <w:tblPr/>
      <w:tcPr>
        <w:tcBorders>
          <w:bottom w:val="single" w:sz="12" w:space="0" w:color="FFFFFF" w:themeColor="background1"/>
        </w:tcBorders>
        <w:shd w:val="clear" w:color="auto" w:fill="274F60" w:themeFill="accent3" w:themeFillShade="CC"/>
      </w:tcPr>
    </w:tblStylePr>
    <w:tblStylePr w:type="lastRow">
      <w:rPr>
        <w:b/>
        <w:bCs/>
        <w:color w:val="27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7EB" w:themeFill="accent4" w:themeFillTint="3F"/>
      </w:tcPr>
    </w:tblStylePr>
    <w:tblStylePr w:type="band1Horz">
      <w:tblPr/>
      <w:tcPr>
        <w:shd w:val="clear" w:color="auto" w:fill="E6ECEF" w:themeFill="accent4" w:themeFillTint="33"/>
      </w:tcPr>
    </w:tblStylePr>
  </w:style>
  <w:style w:type="table" w:styleId="ColorfulList-Accent5">
    <w:name w:val="Colorful List Accent 5"/>
    <w:basedOn w:val="TableNormal"/>
    <w:uiPriority w:val="72"/>
    <w:rsid w:val="00163F94"/>
    <w:pPr>
      <w:spacing w:after="0" w:line="240" w:lineRule="auto"/>
    </w:pPr>
    <w:rPr>
      <w:color w:val="000000" w:themeColor="text1"/>
    </w:rPr>
    <w:tblPr>
      <w:tblStyleRowBandSize w:val="1"/>
      <w:tblStyleColBandSize w:val="1"/>
    </w:tblPr>
    <w:tcPr>
      <w:shd w:val="clear" w:color="auto" w:fill="F6F8F9" w:themeFill="accent5" w:themeFillTint="19"/>
    </w:tcPr>
    <w:tblStylePr w:type="firstRow">
      <w:rPr>
        <w:b/>
        <w:bCs/>
        <w:color w:val="FFFFFF" w:themeColor="background1"/>
      </w:rPr>
      <w:tblPr/>
      <w:tcPr>
        <w:tcBorders>
          <w:bottom w:val="single" w:sz="12" w:space="0" w:color="FFFFFF" w:themeColor="background1"/>
        </w:tcBorders>
        <w:shd w:val="clear" w:color="auto" w:fill="CC4000" w:themeFill="accent6" w:themeFillShade="CC"/>
      </w:tcPr>
    </w:tblStylePr>
    <w:tblStylePr w:type="lastRow">
      <w:rPr>
        <w:b/>
        <w:bCs/>
        <w:color w:val="CC40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FF1" w:themeFill="accent5" w:themeFillTint="3F"/>
      </w:tcPr>
    </w:tblStylePr>
    <w:tblStylePr w:type="band1Horz">
      <w:tblPr/>
      <w:tcPr>
        <w:shd w:val="clear" w:color="auto" w:fill="EEF2F4" w:themeFill="accent5" w:themeFillTint="33"/>
      </w:tcPr>
    </w:tblStylePr>
  </w:style>
  <w:style w:type="table" w:styleId="ColorfulList-Accent6">
    <w:name w:val="Colorful List Accent 6"/>
    <w:basedOn w:val="TableNormal"/>
    <w:uiPriority w:val="72"/>
    <w:rsid w:val="00163F94"/>
    <w:pPr>
      <w:spacing w:after="0" w:line="240" w:lineRule="auto"/>
    </w:pPr>
    <w:rPr>
      <w:color w:val="000000" w:themeColor="text1"/>
    </w:rPr>
    <w:tblPr>
      <w:tblStyleRowBandSize w:val="1"/>
      <w:tblStyleColBandSize w:val="1"/>
    </w:tblPr>
    <w:tcPr>
      <w:shd w:val="clear" w:color="auto" w:fill="FFEDE6" w:themeFill="accent6" w:themeFillTint="19"/>
    </w:tcPr>
    <w:tblStylePr w:type="firstRow">
      <w:rPr>
        <w:b/>
        <w:bCs/>
        <w:color w:val="FFFFFF" w:themeColor="background1"/>
      </w:rPr>
      <w:tblPr/>
      <w:tcPr>
        <w:tcBorders>
          <w:bottom w:val="single" w:sz="12" w:space="0" w:color="FFFFFF" w:themeColor="background1"/>
        </w:tcBorders>
        <w:shd w:val="clear" w:color="auto" w:fill="7F9EAB" w:themeFill="accent5" w:themeFillShade="CC"/>
      </w:tcPr>
    </w:tblStylePr>
    <w:tblStylePr w:type="lastRow">
      <w:rPr>
        <w:b/>
        <w:bCs/>
        <w:color w:val="7F9EA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3C0" w:themeFill="accent6" w:themeFillTint="3F"/>
      </w:tcPr>
    </w:tblStylePr>
    <w:tblStylePr w:type="band1Horz">
      <w:tblPr/>
      <w:tcPr>
        <w:shd w:val="clear" w:color="auto" w:fill="FFDCCC" w:themeFill="accent6" w:themeFillTint="33"/>
      </w:tcPr>
    </w:tblStylePr>
  </w:style>
  <w:style w:type="table" w:styleId="ColorfulShading">
    <w:name w:val="Colorful Shading"/>
    <w:basedOn w:val="TableNormal"/>
    <w:uiPriority w:val="71"/>
    <w:rsid w:val="00163F94"/>
    <w:pPr>
      <w:spacing w:after="0" w:line="240" w:lineRule="auto"/>
    </w:pPr>
    <w:rPr>
      <w:color w:val="000000" w:themeColor="text1"/>
    </w:rPr>
    <w:tblPr>
      <w:tblStyleRowBandSize w:val="1"/>
      <w:tblStyleColBandSize w:val="1"/>
      <w:tblBorders>
        <w:top w:val="single" w:sz="24" w:space="0" w:color="08445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8445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63F94"/>
    <w:pPr>
      <w:spacing w:after="0" w:line="240" w:lineRule="auto"/>
    </w:pPr>
    <w:rPr>
      <w:color w:val="000000" w:themeColor="text1"/>
    </w:rPr>
    <w:tblPr>
      <w:tblStyleRowBandSize w:val="1"/>
      <w:tblStyleColBandSize w:val="1"/>
      <w:tblBorders>
        <w:top w:val="single" w:sz="24" w:space="0" w:color="08445E" w:themeColor="accent2"/>
        <w:left w:val="single" w:sz="4" w:space="0" w:color="052D3F" w:themeColor="accent1"/>
        <w:bottom w:val="single" w:sz="4" w:space="0" w:color="052D3F" w:themeColor="accent1"/>
        <w:right w:val="single" w:sz="4" w:space="0" w:color="052D3F" w:themeColor="accent1"/>
        <w:insideH w:val="single" w:sz="4" w:space="0" w:color="FFFFFF" w:themeColor="background1"/>
        <w:insideV w:val="single" w:sz="4" w:space="0" w:color="FFFFFF" w:themeColor="background1"/>
      </w:tblBorders>
    </w:tblPr>
    <w:tcPr>
      <w:shd w:val="clear" w:color="auto" w:fill="D6F0FB" w:themeFill="accent1" w:themeFillTint="19"/>
    </w:tcPr>
    <w:tblStylePr w:type="firstRow">
      <w:rPr>
        <w:b/>
        <w:bCs/>
      </w:rPr>
      <w:tblPr/>
      <w:tcPr>
        <w:tcBorders>
          <w:top w:val="nil"/>
          <w:left w:val="nil"/>
          <w:bottom w:val="single" w:sz="24" w:space="0" w:color="08445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1A25" w:themeFill="accent1" w:themeFillShade="99"/>
      </w:tcPr>
    </w:tblStylePr>
    <w:tblStylePr w:type="firstCol">
      <w:rPr>
        <w:color w:val="FFFFFF" w:themeColor="background1"/>
      </w:rPr>
      <w:tblPr/>
      <w:tcPr>
        <w:tcBorders>
          <w:top w:val="nil"/>
          <w:left w:val="nil"/>
          <w:bottom w:val="nil"/>
          <w:right w:val="nil"/>
          <w:insideH w:val="single" w:sz="4" w:space="0" w:color="031A25" w:themeColor="accent1" w:themeShade="99"/>
          <w:insideV w:val="nil"/>
        </w:tcBorders>
        <w:shd w:val="clear" w:color="auto" w:fill="031A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1A25" w:themeFill="accent1" w:themeFillShade="99"/>
      </w:tcPr>
    </w:tblStylePr>
    <w:tblStylePr w:type="band1Vert">
      <w:tblPr/>
      <w:tcPr>
        <w:shd w:val="clear" w:color="auto" w:fill="5BC2F2" w:themeFill="accent1" w:themeFillTint="66"/>
      </w:tcPr>
    </w:tblStylePr>
    <w:tblStylePr w:type="band1Horz">
      <w:tblPr/>
      <w:tcPr>
        <w:shd w:val="clear" w:color="auto" w:fill="32B3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63F94"/>
    <w:pPr>
      <w:spacing w:after="0" w:line="240" w:lineRule="auto"/>
    </w:pPr>
    <w:rPr>
      <w:color w:val="000000" w:themeColor="text1"/>
    </w:rPr>
    <w:tblPr>
      <w:tblStyleRowBandSize w:val="1"/>
      <w:tblStyleColBandSize w:val="1"/>
      <w:tblBorders>
        <w:top w:val="single" w:sz="24" w:space="0" w:color="08445E" w:themeColor="accent2"/>
        <w:left w:val="single" w:sz="4" w:space="0" w:color="08445E" w:themeColor="accent2"/>
        <w:bottom w:val="single" w:sz="4" w:space="0" w:color="08445E" w:themeColor="accent2"/>
        <w:right w:val="single" w:sz="4" w:space="0" w:color="08445E" w:themeColor="accent2"/>
        <w:insideH w:val="single" w:sz="4" w:space="0" w:color="FFFFFF" w:themeColor="background1"/>
        <w:insideV w:val="single" w:sz="4" w:space="0" w:color="FFFFFF" w:themeColor="background1"/>
      </w:tblBorders>
    </w:tblPr>
    <w:tcPr>
      <w:shd w:val="clear" w:color="auto" w:fill="DAF1FC" w:themeFill="accent2" w:themeFillTint="19"/>
    </w:tcPr>
    <w:tblStylePr w:type="firstRow">
      <w:rPr>
        <w:b/>
        <w:bCs/>
      </w:rPr>
      <w:tblPr/>
      <w:tcPr>
        <w:tcBorders>
          <w:top w:val="nil"/>
          <w:left w:val="nil"/>
          <w:bottom w:val="single" w:sz="24" w:space="0" w:color="08445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42838" w:themeFill="accent2" w:themeFillShade="99"/>
      </w:tcPr>
    </w:tblStylePr>
    <w:tblStylePr w:type="firstCol">
      <w:rPr>
        <w:color w:val="FFFFFF" w:themeColor="background1"/>
      </w:rPr>
      <w:tblPr/>
      <w:tcPr>
        <w:tcBorders>
          <w:top w:val="nil"/>
          <w:left w:val="nil"/>
          <w:bottom w:val="nil"/>
          <w:right w:val="nil"/>
          <w:insideH w:val="single" w:sz="4" w:space="0" w:color="042838" w:themeColor="accent2" w:themeShade="99"/>
          <w:insideV w:val="nil"/>
        </w:tcBorders>
        <w:shd w:val="clear" w:color="auto" w:fill="04283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42838" w:themeFill="accent2" w:themeFillShade="99"/>
      </w:tcPr>
    </w:tblStylePr>
    <w:tblStylePr w:type="band1Vert">
      <w:tblPr/>
      <w:tcPr>
        <w:shd w:val="clear" w:color="auto" w:fill="68C8F2" w:themeFill="accent2" w:themeFillTint="66"/>
      </w:tcPr>
    </w:tblStylePr>
    <w:tblStylePr w:type="band1Horz">
      <w:tblPr/>
      <w:tcPr>
        <w:shd w:val="clear" w:color="auto" w:fill="43BA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63F94"/>
    <w:pPr>
      <w:spacing w:after="0" w:line="240" w:lineRule="auto"/>
    </w:pPr>
    <w:rPr>
      <w:color w:val="000000" w:themeColor="text1"/>
    </w:rPr>
    <w:tblPr>
      <w:tblStyleRowBandSize w:val="1"/>
      <w:tblStyleColBandSize w:val="1"/>
      <w:tblBorders>
        <w:top w:val="single" w:sz="24" w:space="0" w:color="84A2AF" w:themeColor="accent4"/>
        <w:left w:val="single" w:sz="4" w:space="0" w:color="316379" w:themeColor="accent3"/>
        <w:bottom w:val="single" w:sz="4" w:space="0" w:color="316379" w:themeColor="accent3"/>
        <w:right w:val="single" w:sz="4" w:space="0" w:color="316379" w:themeColor="accent3"/>
        <w:insideH w:val="single" w:sz="4" w:space="0" w:color="FFFFFF" w:themeColor="background1"/>
        <w:insideV w:val="single" w:sz="4" w:space="0" w:color="FFFFFF" w:themeColor="background1"/>
      </w:tblBorders>
    </w:tblPr>
    <w:tcPr>
      <w:shd w:val="clear" w:color="auto" w:fill="E7F1F5" w:themeFill="accent3" w:themeFillTint="19"/>
    </w:tcPr>
    <w:tblStylePr w:type="firstRow">
      <w:rPr>
        <w:b/>
        <w:bCs/>
      </w:rPr>
      <w:tblPr/>
      <w:tcPr>
        <w:tcBorders>
          <w:top w:val="nil"/>
          <w:left w:val="nil"/>
          <w:bottom w:val="single" w:sz="24" w:space="0" w:color="84A2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3B48" w:themeFill="accent3" w:themeFillShade="99"/>
      </w:tcPr>
    </w:tblStylePr>
    <w:tblStylePr w:type="firstCol">
      <w:rPr>
        <w:color w:val="FFFFFF" w:themeColor="background1"/>
      </w:rPr>
      <w:tblPr/>
      <w:tcPr>
        <w:tcBorders>
          <w:top w:val="nil"/>
          <w:left w:val="nil"/>
          <w:bottom w:val="nil"/>
          <w:right w:val="nil"/>
          <w:insideH w:val="single" w:sz="4" w:space="0" w:color="1D3B48" w:themeColor="accent3" w:themeShade="99"/>
          <w:insideV w:val="nil"/>
        </w:tcBorders>
        <w:shd w:val="clear" w:color="auto" w:fill="1D3B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D3B48" w:themeFill="accent3" w:themeFillShade="99"/>
      </w:tcPr>
    </w:tblStylePr>
    <w:tblStylePr w:type="band1Vert">
      <w:tblPr/>
      <w:tcPr>
        <w:shd w:val="clear" w:color="auto" w:fill="9EC6D7" w:themeFill="accent3" w:themeFillTint="66"/>
      </w:tcPr>
    </w:tblStylePr>
    <w:tblStylePr w:type="band1Horz">
      <w:tblPr/>
      <w:tcPr>
        <w:shd w:val="clear" w:color="auto" w:fill="86B8CE" w:themeFill="accent3" w:themeFillTint="7F"/>
      </w:tcPr>
    </w:tblStylePr>
  </w:style>
  <w:style w:type="table" w:styleId="ColorfulShading-Accent4">
    <w:name w:val="Colorful Shading Accent 4"/>
    <w:basedOn w:val="TableNormal"/>
    <w:uiPriority w:val="71"/>
    <w:rsid w:val="00163F94"/>
    <w:pPr>
      <w:spacing w:after="0" w:line="240" w:lineRule="auto"/>
    </w:pPr>
    <w:rPr>
      <w:color w:val="000000" w:themeColor="text1"/>
    </w:rPr>
    <w:tblPr>
      <w:tblStyleRowBandSize w:val="1"/>
      <w:tblStyleColBandSize w:val="1"/>
      <w:tblBorders>
        <w:top w:val="single" w:sz="24" w:space="0" w:color="316379" w:themeColor="accent3"/>
        <w:left w:val="single" w:sz="4" w:space="0" w:color="84A2AF" w:themeColor="accent4"/>
        <w:bottom w:val="single" w:sz="4" w:space="0" w:color="84A2AF" w:themeColor="accent4"/>
        <w:right w:val="single" w:sz="4" w:space="0" w:color="84A2AF" w:themeColor="accent4"/>
        <w:insideH w:val="single" w:sz="4" w:space="0" w:color="FFFFFF" w:themeColor="background1"/>
        <w:insideV w:val="single" w:sz="4" w:space="0" w:color="FFFFFF" w:themeColor="background1"/>
      </w:tblBorders>
    </w:tblPr>
    <w:tcPr>
      <w:shd w:val="clear" w:color="auto" w:fill="F2F5F7" w:themeFill="accent4" w:themeFillTint="19"/>
    </w:tcPr>
    <w:tblStylePr w:type="firstRow">
      <w:rPr>
        <w:b/>
        <w:bCs/>
      </w:rPr>
      <w:tblPr/>
      <w:tcPr>
        <w:tcBorders>
          <w:top w:val="nil"/>
          <w:left w:val="nil"/>
          <w:bottom w:val="single" w:sz="24" w:space="0" w:color="31637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36F" w:themeFill="accent4" w:themeFillShade="99"/>
      </w:tcPr>
    </w:tblStylePr>
    <w:tblStylePr w:type="firstCol">
      <w:rPr>
        <w:color w:val="FFFFFF" w:themeColor="background1"/>
      </w:rPr>
      <w:tblPr/>
      <w:tcPr>
        <w:tcBorders>
          <w:top w:val="nil"/>
          <w:left w:val="nil"/>
          <w:bottom w:val="nil"/>
          <w:right w:val="nil"/>
          <w:insideH w:val="single" w:sz="4" w:space="0" w:color="48636F" w:themeColor="accent4" w:themeShade="99"/>
          <w:insideV w:val="nil"/>
        </w:tcBorders>
        <w:shd w:val="clear" w:color="auto" w:fill="48636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636F" w:themeFill="accent4" w:themeFillShade="99"/>
      </w:tcPr>
    </w:tblStylePr>
    <w:tblStylePr w:type="band1Vert">
      <w:tblPr/>
      <w:tcPr>
        <w:shd w:val="clear" w:color="auto" w:fill="CDD9DF" w:themeFill="accent4" w:themeFillTint="66"/>
      </w:tcPr>
    </w:tblStylePr>
    <w:tblStylePr w:type="band1Horz">
      <w:tblPr/>
      <w:tcPr>
        <w:shd w:val="clear" w:color="auto" w:fill="C1D0D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63F94"/>
    <w:pPr>
      <w:spacing w:after="0" w:line="240" w:lineRule="auto"/>
    </w:pPr>
    <w:rPr>
      <w:color w:val="000000" w:themeColor="text1"/>
    </w:rPr>
    <w:tblPr>
      <w:tblStyleRowBandSize w:val="1"/>
      <w:tblStyleColBandSize w:val="1"/>
      <w:tblBorders>
        <w:top w:val="single" w:sz="24" w:space="0" w:color="FF5000" w:themeColor="accent6"/>
        <w:left w:val="single" w:sz="4" w:space="0" w:color="ADC1C9" w:themeColor="accent5"/>
        <w:bottom w:val="single" w:sz="4" w:space="0" w:color="ADC1C9" w:themeColor="accent5"/>
        <w:right w:val="single" w:sz="4" w:space="0" w:color="ADC1C9" w:themeColor="accent5"/>
        <w:insideH w:val="single" w:sz="4" w:space="0" w:color="FFFFFF" w:themeColor="background1"/>
        <w:insideV w:val="single" w:sz="4" w:space="0" w:color="FFFFFF" w:themeColor="background1"/>
      </w:tblBorders>
    </w:tblPr>
    <w:tcPr>
      <w:shd w:val="clear" w:color="auto" w:fill="F6F8F9" w:themeFill="accent5" w:themeFillTint="19"/>
    </w:tcPr>
    <w:tblStylePr w:type="firstRow">
      <w:rPr>
        <w:b/>
        <w:bCs/>
      </w:rPr>
      <w:tblPr/>
      <w:tcPr>
        <w:tcBorders>
          <w:top w:val="nil"/>
          <w:left w:val="nil"/>
          <w:bottom w:val="single" w:sz="24" w:space="0" w:color="FF5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7987" w:themeFill="accent5" w:themeFillShade="99"/>
      </w:tcPr>
    </w:tblStylePr>
    <w:tblStylePr w:type="firstCol">
      <w:rPr>
        <w:color w:val="FFFFFF" w:themeColor="background1"/>
      </w:rPr>
      <w:tblPr/>
      <w:tcPr>
        <w:tcBorders>
          <w:top w:val="nil"/>
          <w:left w:val="nil"/>
          <w:bottom w:val="nil"/>
          <w:right w:val="nil"/>
          <w:insideH w:val="single" w:sz="4" w:space="0" w:color="597987" w:themeColor="accent5" w:themeShade="99"/>
          <w:insideV w:val="nil"/>
        </w:tcBorders>
        <w:shd w:val="clear" w:color="auto" w:fill="59798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97987" w:themeFill="accent5" w:themeFillShade="99"/>
      </w:tcPr>
    </w:tblStylePr>
    <w:tblStylePr w:type="band1Vert">
      <w:tblPr/>
      <w:tcPr>
        <w:shd w:val="clear" w:color="auto" w:fill="DEE6E9" w:themeFill="accent5" w:themeFillTint="66"/>
      </w:tcPr>
    </w:tblStylePr>
    <w:tblStylePr w:type="band1Horz">
      <w:tblPr/>
      <w:tcPr>
        <w:shd w:val="clear" w:color="auto" w:fill="D6DFE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63F94"/>
    <w:pPr>
      <w:spacing w:after="0" w:line="240" w:lineRule="auto"/>
    </w:pPr>
    <w:rPr>
      <w:color w:val="000000" w:themeColor="text1"/>
    </w:rPr>
    <w:tblPr>
      <w:tblStyleRowBandSize w:val="1"/>
      <w:tblStyleColBandSize w:val="1"/>
      <w:tblBorders>
        <w:top w:val="single" w:sz="24" w:space="0" w:color="ADC1C9" w:themeColor="accent5"/>
        <w:left w:val="single" w:sz="4" w:space="0" w:color="FF5000" w:themeColor="accent6"/>
        <w:bottom w:val="single" w:sz="4" w:space="0" w:color="FF5000" w:themeColor="accent6"/>
        <w:right w:val="single" w:sz="4" w:space="0" w:color="FF5000" w:themeColor="accent6"/>
        <w:insideH w:val="single" w:sz="4" w:space="0" w:color="FFFFFF" w:themeColor="background1"/>
        <w:insideV w:val="single" w:sz="4" w:space="0" w:color="FFFFFF" w:themeColor="background1"/>
      </w:tblBorders>
    </w:tblPr>
    <w:tcPr>
      <w:shd w:val="clear" w:color="auto" w:fill="FFEDE6" w:themeFill="accent6" w:themeFillTint="19"/>
    </w:tcPr>
    <w:tblStylePr w:type="firstRow">
      <w:rPr>
        <w:b/>
        <w:bCs/>
      </w:rPr>
      <w:tblPr/>
      <w:tcPr>
        <w:tcBorders>
          <w:top w:val="nil"/>
          <w:left w:val="nil"/>
          <w:bottom w:val="single" w:sz="24" w:space="0" w:color="ADC1C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000" w:themeFill="accent6" w:themeFillShade="99"/>
      </w:tcPr>
    </w:tblStylePr>
    <w:tblStylePr w:type="firstCol">
      <w:rPr>
        <w:color w:val="FFFFFF" w:themeColor="background1"/>
      </w:rPr>
      <w:tblPr/>
      <w:tcPr>
        <w:tcBorders>
          <w:top w:val="nil"/>
          <w:left w:val="nil"/>
          <w:bottom w:val="nil"/>
          <w:right w:val="nil"/>
          <w:insideH w:val="single" w:sz="4" w:space="0" w:color="993000" w:themeColor="accent6" w:themeShade="99"/>
          <w:insideV w:val="nil"/>
        </w:tcBorders>
        <w:shd w:val="clear" w:color="auto" w:fill="993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3000" w:themeFill="accent6" w:themeFillShade="99"/>
      </w:tcPr>
    </w:tblStylePr>
    <w:tblStylePr w:type="band1Vert">
      <w:tblPr/>
      <w:tcPr>
        <w:shd w:val="clear" w:color="auto" w:fill="FFB999" w:themeFill="accent6" w:themeFillTint="66"/>
      </w:tcPr>
    </w:tblStylePr>
    <w:tblStylePr w:type="band1Horz">
      <w:tblPr/>
      <w:tcPr>
        <w:shd w:val="clear" w:color="auto" w:fill="FFA78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uiPriority w:val="49"/>
    <w:semiHidden/>
    <w:rsid w:val="00163F94"/>
    <w:rPr>
      <w:sz w:val="16"/>
      <w:szCs w:val="16"/>
    </w:rPr>
  </w:style>
  <w:style w:type="paragraph" w:styleId="CommentSubject">
    <w:name w:val="annotation subject"/>
    <w:basedOn w:val="CommentText"/>
    <w:next w:val="CommentText"/>
    <w:link w:val="CommentSubjectChar"/>
    <w:uiPriority w:val="49"/>
    <w:semiHidden/>
    <w:rsid w:val="00163F94"/>
    <w:rPr>
      <w:b/>
      <w:bCs/>
    </w:rPr>
  </w:style>
  <w:style w:type="character" w:customStyle="1" w:styleId="CommentSubjectChar">
    <w:name w:val="Comment Subject Char"/>
    <w:basedOn w:val="CommentTextChar"/>
    <w:link w:val="CommentSubject"/>
    <w:uiPriority w:val="49"/>
    <w:semiHidden/>
    <w:rsid w:val="006D3C3C"/>
    <w:rPr>
      <w:rFonts w:ascii="Yu Gothic UI" w:eastAsia="Yu Gothic UI" w:hAnsi="Yu Gothic UI" w:cs="Times New Roman"/>
      <w:b/>
      <w:bCs/>
      <w:sz w:val="22"/>
    </w:rPr>
  </w:style>
  <w:style w:type="table" w:styleId="DarkList">
    <w:name w:val="Dark List"/>
    <w:basedOn w:val="TableNormal"/>
    <w:uiPriority w:val="70"/>
    <w:rsid w:val="00163F9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63F94"/>
    <w:pPr>
      <w:spacing w:after="0" w:line="240" w:lineRule="auto"/>
    </w:pPr>
    <w:rPr>
      <w:color w:val="FFFFFF" w:themeColor="background1"/>
    </w:rPr>
    <w:tblPr>
      <w:tblStyleRowBandSize w:val="1"/>
      <w:tblStyleColBandSize w:val="1"/>
    </w:tblPr>
    <w:tcPr>
      <w:shd w:val="clear" w:color="auto" w:fill="052D3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16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321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3212E" w:themeFill="accent1" w:themeFillShade="BF"/>
      </w:tcPr>
    </w:tblStylePr>
    <w:tblStylePr w:type="band1Vert">
      <w:tblPr/>
      <w:tcPr>
        <w:tcBorders>
          <w:top w:val="nil"/>
          <w:left w:val="nil"/>
          <w:bottom w:val="nil"/>
          <w:right w:val="nil"/>
          <w:insideH w:val="nil"/>
          <w:insideV w:val="nil"/>
        </w:tcBorders>
        <w:shd w:val="clear" w:color="auto" w:fill="03212E" w:themeFill="accent1" w:themeFillShade="BF"/>
      </w:tcPr>
    </w:tblStylePr>
    <w:tblStylePr w:type="band1Horz">
      <w:tblPr/>
      <w:tcPr>
        <w:tcBorders>
          <w:top w:val="nil"/>
          <w:left w:val="nil"/>
          <w:bottom w:val="nil"/>
          <w:right w:val="nil"/>
          <w:insideH w:val="nil"/>
          <w:insideV w:val="nil"/>
        </w:tcBorders>
        <w:shd w:val="clear" w:color="auto" w:fill="03212E" w:themeFill="accent1" w:themeFillShade="BF"/>
      </w:tcPr>
    </w:tblStylePr>
  </w:style>
  <w:style w:type="table" w:styleId="DarkList-Accent2">
    <w:name w:val="Dark List Accent 2"/>
    <w:basedOn w:val="TableNormal"/>
    <w:uiPriority w:val="70"/>
    <w:rsid w:val="00163F94"/>
    <w:pPr>
      <w:spacing w:after="0" w:line="240" w:lineRule="auto"/>
    </w:pPr>
    <w:rPr>
      <w:color w:val="FFFFFF" w:themeColor="background1"/>
    </w:rPr>
    <w:tblPr>
      <w:tblStyleRowBandSize w:val="1"/>
      <w:tblStyleColBandSize w:val="1"/>
    </w:tblPr>
    <w:tcPr>
      <w:shd w:val="clear" w:color="auto" w:fill="08445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212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6324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63246" w:themeFill="accent2" w:themeFillShade="BF"/>
      </w:tcPr>
    </w:tblStylePr>
    <w:tblStylePr w:type="band1Vert">
      <w:tblPr/>
      <w:tcPr>
        <w:tcBorders>
          <w:top w:val="nil"/>
          <w:left w:val="nil"/>
          <w:bottom w:val="nil"/>
          <w:right w:val="nil"/>
          <w:insideH w:val="nil"/>
          <w:insideV w:val="nil"/>
        </w:tcBorders>
        <w:shd w:val="clear" w:color="auto" w:fill="063246" w:themeFill="accent2" w:themeFillShade="BF"/>
      </w:tcPr>
    </w:tblStylePr>
    <w:tblStylePr w:type="band1Horz">
      <w:tblPr/>
      <w:tcPr>
        <w:tcBorders>
          <w:top w:val="nil"/>
          <w:left w:val="nil"/>
          <w:bottom w:val="nil"/>
          <w:right w:val="nil"/>
          <w:insideH w:val="nil"/>
          <w:insideV w:val="nil"/>
        </w:tcBorders>
        <w:shd w:val="clear" w:color="auto" w:fill="063246" w:themeFill="accent2" w:themeFillShade="BF"/>
      </w:tcPr>
    </w:tblStylePr>
  </w:style>
  <w:style w:type="table" w:styleId="DarkList-Accent3">
    <w:name w:val="Dark List Accent 3"/>
    <w:basedOn w:val="TableNormal"/>
    <w:uiPriority w:val="70"/>
    <w:rsid w:val="00163F94"/>
    <w:pPr>
      <w:spacing w:after="0" w:line="240" w:lineRule="auto"/>
    </w:pPr>
    <w:rPr>
      <w:color w:val="FFFFFF" w:themeColor="background1"/>
    </w:rPr>
    <w:tblPr>
      <w:tblStyleRowBandSize w:val="1"/>
      <w:tblStyleColBandSize w:val="1"/>
    </w:tblPr>
    <w:tcPr>
      <w:shd w:val="clear" w:color="auto" w:fill="31637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313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44A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44A5A" w:themeFill="accent3" w:themeFillShade="BF"/>
      </w:tcPr>
    </w:tblStylePr>
    <w:tblStylePr w:type="band1Vert">
      <w:tblPr/>
      <w:tcPr>
        <w:tcBorders>
          <w:top w:val="nil"/>
          <w:left w:val="nil"/>
          <w:bottom w:val="nil"/>
          <w:right w:val="nil"/>
          <w:insideH w:val="nil"/>
          <w:insideV w:val="nil"/>
        </w:tcBorders>
        <w:shd w:val="clear" w:color="auto" w:fill="244A5A" w:themeFill="accent3" w:themeFillShade="BF"/>
      </w:tcPr>
    </w:tblStylePr>
    <w:tblStylePr w:type="band1Horz">
      <w:tblPr/>
      <w:tcPr>
        <w:tcBorders>
          <w:top w:val="nil"/>
          <w:left w:val="nil"/>
          <w:bottom w:val="nil"/>
          <w:right w:val="nil"/>
          <w:insideH w:val="nil"/>
          <w:insideV w:val="nil"/>
        </w:tcBorders>
        <w:shd w:val="clear" w:color="auto" w:fill="244A5A" w:themeFill="accent3" w:themeFillShade="BF"/>
      </w:tcPr>
    </w:tblStylePr>
  </w:style>
  <w:style w:type="table" w:styleId="DarkList-Accent4">
    <w:name w:val="Dark List Accent 4"/>
    <w:basedOn w:val="TableNormal"/>
    <w:uiPriority w:val="70"/>
    <w:rsid w:val="00163F94"/>
    <w:pPr>
      <w:spacing w:after="0" w:line="240" w:lineRule="auto"/>
    </w:pPr>
    <w:rPr>
      <w:color w:val="FFFFFF" w:themeColor="background1"/>
    </w:rPr>
    <w:tblPr>
      <w:tblStyleRowBandSize w:val="1"/>
      <w:tblStyleColBandSize w:val="1"/>
    </w:tblPr>
    <w:tcPr>
      <w:shd w:val="clear" w:color="auto" w:fill="84A2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2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7C8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7C8B" w:themeFill="accent4" w:themeFillShade="BF"/>
      </w:tcPr>
    </w:tblStylePr>
    <w:tblStylePr w:type="band1Vert">
      <w:tblPr/>
      <w:tcPr>
        <w:tcBorders>
          <w:top w:val="nil"/>
          <w:left w:val="nil"/>
          <w:bottom w:val="nil"/>
          <w:right w:val="nil"/>
          <w:insideH w:val="nil"/>
          <w:insideV w:val="nil"/>
        </w:tcBorders>
        <w:shd w:val="clear" w:color="auto" w:fill="5A7C8B" w:themeFill="accent4" w:themeFillShade="BF"/>
      </w:tcPr>
    </w:tblStylePr>
    <w:tblStylePr w:type="band1Horz">
      <w:tblPr/>
      <w:tcPr>
        <w:tcBorders>
          <w:top w:val="nil"/>
          <w:left w:val="nil"/>
          <w:bottom w:val="nil"/>
          <w:right w:val="nil"/>
          <w:insideH w:val="nil"/>
          <w:insideV w:val="nil"/>
        </w:tcBorders>
        <w:shd w:val="clear" w:color="auto" w:fill="5A7C8B" w:themeFill="accent4" w:themeFillShade="BF"/>
      </w:tcPr>
    </w:tblStylePr>
  </w:style>
  <w:style w:type="table" w:styleId="DarkList-Accent5">
    <w:name w:val="Dark List Accent 5"/>
    <w:basedOn w:val="TableNormal"/>
    <w:uiPriority w:val="70"/>
    <w:rsid w:val="00163F94"/>
    <w:pPr>
      <w:spacing w:after="0" w:line="240" w:lineRule="auto"/>
    </w:pPr>
    <w:rPr>
      <w:color w:val="FFFFFF" w:themeColor="background1"/>
    </w:rPr>
    <w:tblPr>
      <w:tblStyleRowBandSize w:val="1"/>
      <w:tblStyleColBandSize w:val="1"/>
    </w:tblPr>
    <w:tcPr>
      <w:shd w:val="clear" w:color="auto" w:fill="ADC1C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657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96A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96A3" w:themeFill="accent5" w:themeFillShade="BF"/>
      </w:tcPr>
    </w:tblStylePr>
    <w:tblStylePr w:type="band1Vert">
      <w:tblPr/>
      <w:tcPr>
        <w:tcBorders>
          <w:top w:val="nil"/>
          <w:left w:val="nil"/>
          <w:bottom w:val="nil"/>
          <w:right w:val="nil"/>
          <w:insideH w:val="nil"/>
          <w:insideV w:val="nil"/>
        </w:tcBorders>
        <w:shd w:val="clear" w:color="auto" w:fill="7496A3" w:themeFill="accent5" w:themeFillShade="BF"/>
      </w:tcPr>
    </w:tblStylePr>
    <w:tblStylePr w:type="band1Horz">
      <w:tblPr/>
      <w:tcPr>
        <w:tcBorders>
          <w:top w:val="nil"/>
          <w:left w:val="nil"/>
          <w:bottom w:val="nil"/>
          <w:right w:val="nil"/>
          <w:insideH w:val="nil"/>
          <w:insideV w:val="nil"/>
        </w:tcBorders>
        <w:shd w:val="clear" w:color="auto" w:fill="7496A3" w:themeFill="accent5" w:themeFillShade="BF"/>
      </w:tcPr>
    </w:tblStylePr>
  </w:style>
  <w:style w:type="table" w:styleId="DarkList-Accent6">
    <w:name w:val="Dark List Accent 6"/>
    <w:basedOn w:val="TableNormal"/>
    <w:uiPriority w:val="70"/>
    <w:rsid w:val="00163F94"/>
    <w:pPr>
      <w:spacing w:after="0" w:line="240" w:lineRule="auto"/>
    </w:pPr>
    <w:rPr>
      <w:color w:val="FFFFFF" w:themeColor="background1"/>
    </w:rPr>
    <w:tblPr>
      <w:tblStyleRowBandSize w:val="1"/>
      <w:tblStyleColBandSize w:val="1"/>
    </w:tblPr>
    <w:tcPr>
      <w:shd w:val="clear" w:color="auto" w:fill="FF5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7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3B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3B00" w:themeFill="accent6" w:themeFillShade="BF"/>
      </w:tcPr>
    </w:tblStylePr>
    <w:tblStylePr w:type="band1Vert">
      <w:tblPr/>
      <w:tcPr>
        <w:tcBorders>
          <w:top w:val="nil"/>
          <w:left w:val="nil"/>
          <w:bottom w:val="nil"/>
          <w:right w:val="nil"/>
          <w:insideH w:val="nil"/>
          <w:insideV w:val="nil"/>
        </w:tcBorders>
        <w:shd w:val="clear" w:color="auto" w:fill="BF3B00" w:themeFill="accent6" w:themeFillShade="BF"/>
      </w:tcPr>
    </w:tblStylePr>
    <w:tblStylePr w:type="band1Horz">
      <w:tblPr/>
      <w:tcPr>
        <w:tcBorders>
          <w:top w:val="nil"/>
          <w:left w:val="nil"/>
          <w:bottom w:val="nil"/>
          <w:right w:val="nil"/>
          <w:insideH w:val="nil"/>
          <w:insideV w:val="nil"/>
        </w:tcBorders>
        <w:shd w:val="clear" w:color="auto" w:fill="BF3B00" w:themeFill="accent6" w:themeFillShade="BF"/>
      </w:tcPr>
    </w:tblStylePr>
  </w:style>
  <w:style w:type="paragraph" w:styleId="DocumentMap">
    <w:name w:val="Document Map"/>
    <w:basedOn w:val="Normal"/>
    <w:link w:val="DocumentMapChar"/>
    <w:uiPriority w:val="99"/>
    <w:semiHidden/>
    <w:unhideWhenUsed/>
    <w:rsid w:val="00163F94"/>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3F94"/>
    <w:rPr>
      <w:rFonts w:ascii="Tahoma" w:eastAsia="Yu Gothic UI" w:hAnsi="Tahoma" w:cs="Tahoma"/>
      <w:sz w:val="16"/>
      <w:szCs w:val="16"/>
    </w:rPr>
  </w:style>
  <w:style w:type="paragraph" w:styleId="E-mailSignature">
    <w:name w:val="E-mail Signature"/>
    <w:basedOn w:val="Normal"/>
    <w:link w:val="E-mailSignatureChar"/>
    <w:uiPriority w:val="99"/>
    <w:semiHidden/>
    <w:unhideWhenUsed/>
    <w:rsid w:val="00163F94"/>
    <w:pPr>
      <w:spacing w:after="0"/>
    </w:pPr>
  </w:style>
  <w:style w:type="character" w:customStyle="1" w:styleId="E-mailSignatureChar">
    <w:name w:val="E-mail Signature Char"/>
    <w:basedOn w:val="DefaultParagraphFont"/>
    <w:link w:val="E-mailSignature"/>
    <w:uiPriority w:val="99"/>
    <w:semiHidden/>
    <w:rsid w:val="00163F94"/>
    <w:rPr>
      <w:rFonts w:ascii="Yu Gothic UI" w:eastAsia="Yu Gothic UI" w:hAnsi="Yu Gothic UI" w:cs="Times New Roman"/>
      <w:sz w:val="22"/>
    </w:rPr>
  </w:style>
  <w:style w:type="character" w:styleId="Emphasis">
    <w:name w:val="Emphasis"/>
    <w:basedOn w:val="DefaultParagraphFont"/>
    <w:uiPriority w:val="20"/>
    <w:semiHidden/>
    <w:qFormat/>
    <w:rsid w:val="00163F94"/>
    <w:rPr>
      <w:i/>
      <w:iCs/>
    </w:rPr>
  </w:style>
  <w:style w:type="character" w:styleId="EndnoteReference">
    <w:name w:val="endnote reference"/>
    <w:basedOn w:val="DefaultParagraphFont"/>
    <w:uiPriority w:val="99"/>
    <w:semiHidden/>
    <w:unhideWhenUsed/>
    <w:rsid w:val="00163F94"/>
    <w:rPr>
      <w:vertAlign w:val="superscript"/>
    </w:rPr>
  </w:style>
  <w:style w:type="paragraph" w:styleId="EndnoteText">
    <w:name w:val="endnote text"/>
    <w:basedOn w:val="Normal"/>
    <w:link w:val="EndnoteTextChar"/>
    <w:uiPriority w:val="99"/>
    <w:semiHidden/>
    <w:unhideWhenUsed/>
    <w:rsid w:val="00163F94"/>
    <w:pPr>
      <w:spacing w:after="0"/>
    </w:pPr>
  </w:style>
  <w:style w:type="character" w:customStyle="1" w:styleId="EndnoteTextChar">
    <w:name w:val="Endnote Text Char"/>
    <w:basedOn w:val="DefaultParagraphFont"/>
    <w:link w:val="EndnoteText"/>
    <w:uiPriority w:val="99"/>
    <w:semiHidden/>
    <w:rsid w:val="00163F94"/>
    <w:rPr>
      <w:rFonts w:ascii="Yu Gothic UI" w:eastAsia="Yu Gothic UI" w:hAnsi="Yu Gothic UI" w:cs="Times New Roman"/>
      <w:sz w:val="22"/>
    </w:rPr>
  </w:style>
  <w:style w:type="paragraph" w:styleId="EnvelopeAddress">
    <w:name w:val="envelope address"/>
    <w:basedOn w:val="Normal"/>
    <w:uiPriority w:val="99"/>
    <w:semiHidden/>
    <w:unhideWhenUsed/>
    <w:rsid w:val="00163F9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63F94"/>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rsid w:val="00163F94"/>
    <w:rPr>
      <w:color w:val="C04500" w:themeColor="followedHyperlink"/>
      <w:u w:val="single"/>
    </w:rPr>
  </w:style>
  <w:style w:type="character" w:customStyle="1" w:styleId="Heading5Char">
    <w:name w:val="Heading 5 Char"/>
    <w:aliases w:val="Paragraph Text Char"/>
    <w:link w:val="Heading5"/>
    <w:uiPriority w:val="1"/>
    <w:rsid w:val="00F13356"/>
    <w:rPr>
      <w:rFonts w:eastAsia="Yu Gothic UI"/>
      <w:szCs w:val="44"/>
    </w:rPr>
  </w:style>
  <w:style w:type="character" w:customStyle="1" w:styleId="Heading6Char">
    <w:name w:val="Heading 6 Char"/>
    <w:aliases w:val="level 1 bullet 1 Char"/>
    <w:link w:val="Heading6"/>
    <w:uiPriority w:val="5"/>
    <w:rsid w:val="00163F94"/>
    <w:rPr>
      <w:rFonts w:eastAsia="Yu Gothic UI"/>
      <w:szCs w:val="44"/>
    </w:rPr>
  </w:style>
  <w:style w:type="character" w:customStyle="1" w:styleId="Heading7Char">
    <w:name w:val="Heading 7 Char"/>
    <w:aliases w:val="Bullet 2 Char"/>
    <w:basedOn w:val="DefaultParagraphFont"/>
    <w:link w:val="Heading7"/>
    <w:uiPriority w:val="5"/>
    <w:rsid w:val="00334597"/>
    <w:rPr>
      <w:rFonts w:eastAsia="Times New Roman" w:cs="Times New Roman"/>
      <w:sz w:val="22"/>
    </w:rPr>
  </w:style>
  <w:style w:type="character" w:customStyle="1" w:styleId="Heading8Char">
    <w:name w:val="Heading 8 Char"/>
    <w:aliases w:val="Bullet 3 Char,Do Not Use 8 Char,Economics List (a) Char,level 3 bullets Char,Legal Level 1.1.1. Char"/>
    <w:basedOn w:val="DefaultParagraphFont"/>
    <w:link w:val="Heading8"/>
    <w:uiPriority w:val="5"/>
    <w:rsid w:val="00C53C20"/>
    <w:rPr>
      <w:rFonts w:eastAsia="Times New Roman"/>
      <w:szCs w:val="44"/>
    </w:rPr>
  </w:style>
  <w:style w:type="character" w:customStyle="1" w:styleId="Heading9Char">
    <w:name w:val="Heading 9 Char"/>
    <w:aliases w:val="Bullet Heading Char,Do Not Use 9 Char,Legal Level 1.1.1.1. Char"/>
    <w:basedOn w:val="DefaultParagraphFont"/>
    <w:link w:val="Heading9"/>
    <w:uiPriority w:val="3"/>
    <w:rsid w:val="00334597"/>
    <w:rPr>
      <w:i/>
      <w:sz w:val="24"/>
    </w:rPr>
  </w:style>
  <w:style w:type="character" w:styleId="HTMLAcronym">
    <w:name w:val="HTML Acronym"/>
    <w:basedOn w:val="DefaultParagraphFont"/>
    <w:uiPriority w:val="99"/>
    <w:semiHidden/>
    <w:unhideWhenUsed/>
    <w:rsid w:val="00163F94"/>
  </w:style>
  <w:style w:type="paragraph" w:styleId="HTMLAddress">
    <w:name w:val="HTML Address"/>
    <w:basedOn w:val="Normal"/>
    <w:link w:val="HTMLAddressChar"/>
    <w:uiPriority w:val="99"/>
    <w:semiHidden/>
    <w:unhideWhenUsed/>
    <w:rsid w:val="00163F94"/>
    <w:pPr>
      <w:spacing w:after="0"/>
    </w:pPr>
    <w:rPr>
      <w:i/>
      <w:iCs/>
    </w:rPr>
  </w:style>
  <w:style w:type="character" w:customStyle="1" w:styleId="HTMLAddressChar">
    <w:name w:val="HTML Address Char"/>
    <w:basedOn w:val="DefaultParagraphFont"/>
    <w:link w:val="HTMLAddress"/>
    <w:uiPriority w:val="99"/>
    <w:semiHidden/>
    <w:rsid w:val="00163F94"/>
    <w:rPr>
      <w:rFonts w:ascii="Yu Gothic UI" w:eastAsia="Yu Gothic UI" w:hAnsi="Yu Gothic UI" w:cs="Times New Roman"/>
      <w:i/>
      <w:iCs/>
      <w:sz w:val="22"/>
    </w:rPr>
  </w:style>
  <w:style w:type="character" w:styleId="HTMLCite">
    <w:name w:val="HTML Cite"/>
    <w:basedOn w:val="DefaultParagraphFont"/>
    <w:uiPriority w:val="99"/>
    <w:semiHidden/>
    <w:unhideWhenUsed/>
    <w:rsid w:val="00163F94"/>
    <w:rPr>
      <w:i/>
      <w:iCs/>
    </w:rPr>
  </w:style>
  <w:style w:type="character" w:styleId="HTMLCode">
    <w:name w:val="HTML Code"/>
    <w:basedOn w:val="DefaultParagraphFont"/>
    <w:uiPriority w:val="99"/>
    <w:semiHidden/>
    <w:unhideWhenUsed/>
    <w:rsid w:val="00163F94"/>
    <w:rPr>
      <w:rFonts w:ascii="Consolas" w:hAnsi="Consolas" w:cs="Consolas"/>
      <w:sz w:val="20"/>
      <w:szCs w:val="20"/>
    </w:rPr>
  </w:style>
  <w:style w:type="character" w:styleId="HTMLDefinition">
    <w:name w:val="HTML Definition"/>
    <w:basedOn w:val="DefaultParagraphFont"/>
    <w:uiPriority w:val="99"/>
    <w:semiHidden/>
    <w:unhideWhenUsed/>
    <w:rsid w:val="00163F94"/>
    <w:rPr>
      <w:i/>
      <w:iCs/>
    </w:rPr>
  </w:style>
  <w:style w:type="character" w:styleId="HTMLKeyboard">
    <w:name w:val="HTML Keyboard"/>
    <w:basedOn w:val="DefaultParagraphFont"/>
    <w:uiPriority w:val="99"/>
    <w:semiHidden/>
    <w:unhideWhenUsed/>
    <w:rsid w:val="00163F94"/>
    <w:rPr>
      <w:rFonts w:ascii="Consolas" w:hAnsi="Consolas" w:cs="Consolas"/>
      <w:sz w:val="20"/>
      <w:szCs w:val="20"/>
    </w:rPr>
  </w:style>
  <w:style w:type="paragraph" w:styleId="HTMLPreformatted">
    <w:name w:val="HTML Preformatted"/>
    <w:basedOn w:val="Normal"/>
    <w:link w:val="HTMLPreformattedChar"/>
    <w:uiPriority w:val="99"/>
    <w:semiHidden/>
    <w:unhideWhenUsed/>
    <w:rsid w:val="00163F94"/>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163F94"/>
    <w:rPr>
      <w:rFonts w:ascii="Consolas" w:eastAsia="Yu Gothic UI" w:hAnsi="Consolas" w:cs="Consolas"/>
      <w:sz w:val="22"/>
    </w:rPr>
  </w:style>
  <w:style w:type="character" w:styleId="HTMLSample">
    <w:name w:val="HTML Sample"/>
    <w:basedOn w:val="DefaultParagraphFont"/>
    <w:uiPriority w:val="99"/>
    <w:semiHidden/>
    <w:unhideWhenUsed/>
    <w:rsid w:val="00163F94"/>
    <w:rPr>
      <w:rFonts w:ascii="Consolas" w:hAnsi="Consolas" w:cs="Consolas"/>
      <w:sz w:val="24"/>
      <w:szCs w:val="24"/>
    </w:rPr>
  </w:style>
  <w:style w:type="character" w:styleId="HTMLTypewriter">
    <w:name w:val="HTML Typewriter"/>
    <w:basedOn w:val="DefaultParagraphFont"/>
    <w:uiPriority w:val="99"/>
    <w:semiHidden/>
    <w:unhideWhenUsed/>
    <w:rsid w:val="00163F94"/>
    <w:rPr>
      <w:rFonts w:ascii="Consolas" w:hAnsi="Consolas" w:cs="Consolas"/>
      <w:sz w:val="20"/>
      <w:szCs w:val="20"/>
    </w:rPr>
  </w:style>
  <w:style w:type="character" w:styleId="HTMLVariable">
    <w:name w:val="HTML Variable"/>
    <w:basedOn w:val="DefaultParagraphFont"/>
    <w:uiPriority w:val="99"/>
    <w:semiHidden/>
    <w:unhideWhenUsed/>
    <w:rsid w:val="00163F94"/>
    <w:rPr>
      <w:i/>
      <w:iCs/>
    </w:rPr>
  </w:style>
  <w:style w:type="paragraph" w:styleId="Index1">
    <w:name w:val="index 1"/>
    <w:basedOn w:val="Normal"/>
    <w:next w:val="Normal"/>
    <w:autoRedefine/>
    <w:uiPriority w:val="99"/>
    <w:semiHidden/>
    <w:unhideWhenUsed/>
    <w:rsid w:val="00163F94"/>
    <w:pPr>
      <w:spacing w:after="0"/>
      <w:ind w:left="220" w:hanging="220"/>
    </w:pPr>
  </w:style>
  <w:style w:type="paragraph" w:styleId="Index2">
    <w:name w:val="index 2"/>
    <w:basedOn w:val="Normal"/>
    <w:next w:val="Normal"/>
    <w:autoRedefine/>
    <w:uiPriority w:val="99"/>
    <w:semiHidden/>
    <w:unhideWhenUsed/>
    <w:rsid w:val="00163F94"/>
    <w:pPr>
      <w:spacing w:after="0"/>
      <w:ind w:left="440" w:hanging="220"/>
    </w:pPr>
  </w:style>
  <w:style w:type="paragraph" w:styleId="Index3">
    <w:name w:val="index 3"/>
    <w:basedOn w:val="Normal"/>
    <w:next w:val="Normal"/>
    <w:autoRedefine/>
    <w:uiPriority w:val="99"/>
    <w:semiHidden/>
    <w:unhideWhenUsed/>
    <w:rsid w:val="00163F94"/>
    <w:pPr>
      <w:spacing w:after="0"/>
      <w:ind w:left="660" w:hanging="220"/>
    </w:pPr>
  </w:style>
  <w:style w:type="paragraph" w:styleId="Index4">
    <w:name w:val="index 4"/>
    <w:basedOn w:val="Normal"/>
    <w:next w:val="Normal"/>
    <w:autoRedefine/>
    <w:uiPriority w:val="99"/>
    <w:semiHidden/>
    <w:unhideWhenUsed/>
    <w:rsid w:val="00163F94"/>
    <w:pPr>
      <w:spacing w:after="0"/>
      <w:ind w:left="880" w:hanging="220"/>
    </w:pPr>
  </w:style>
  <w:style w:type="paragraph" w:styleId="Index5">
    <w:name w:val="index 5"/>
    <w:basedOn w:val="Normal"/>
    <w:next w:val="Normal"/>
    <w:autoRedefine/>
    <w:uiPriority w:val="99"/>
    <w:semiHidden/>
    <w:unhideWhenUsed/>
    <w:rsid w:val="00163F94"/>
    <w:pPr>
      <w:spacing w:after="0"/>
      <w:ind w:left="1100" w:hanging="220"/>
    </w:pPr>
  </w:style>
  <w:style w:type="paragraph" w:styleId="Index6">
    <w:name w:val="index 6"/>
    <w:basedOn w:val="Normal"/>
    <w:next w:val="Normal"/>
    <w:autoRedefine/>
    <w:uiPriority w:val="99"/>
    <w:semiHidden/>
    <w:unhideWhenUsed/>
    <w:rsid w:val="00163F94"/>
    <w:pPr>
      <w:spacing w:after="0"/>
      <w:ind w:left="1320" w:hanging="220"/>
    </w:pPr>
  </w:style>
  <w:style w:type="paragraph" w:styleId="Index7">
    <w:name w:val="index 7"/>
    <w:basedOn w:val="Normal"/>
    <w:next w:val="Normal"/>
    <w:autoRedefine/>
    <w:uiPriority w:val="99"/>
    <w:semiHidden/>
    <w:unhideWhenUsed/>
    <w:rsid w:val="00163F94"/>
    <w:pPr>
      <w:spacing w:after="0"/>
      <w:ind w:left="1540" w:hanging="220"/>
    </w:pPr>
  </w:style>
  <w:style w:type="paragraph" w:styleId="Index8">
    <w:name w:val="index 8"/>
    <w:basedOn w:val="Normal"/>
    <w:next w:val="Normal"/>
    <w:autoRedefine/>
    <w:uiPriority w:val="99"/>
    <w:semiHidden/>
    <w:unhideWhenUsed/>
    <w:rsid w:val="00163F94"/>
    <w:pPr>
      <w:spacing w:after="0"/>
      <w:ind w:left="1760" w:hanging="220"/>
    </w:pPr>
  </w:style>
  <w:style w:type="paragraph" w:styleId="Index9">
    <w:name w:val="index 9"/>
    <w:basedOn w:val="Normal"/>
    <w:next w:val="Normal"/>
    <w:autoRedefine/>
    <w:uiPriority w:val="99"/>
    <w:semiHidden/>
    <w:unhideWhenUsed/>
    <w:rsid w:val="00163F94"/>
    <w:pPr>
      <w:spacing w:after="0"/>
      <w:ind w:left="1980" w:hanging="220"/>
    </w:pPr>
  </w:style>
  <w:style w:type="paragraph" w:styleId="IndexHeading">
    <w:name w:val="index heading"/>
    <w:basedOn w:val="Normal"/>
    <w:next w:val="Index1"/>
    <w:uiPriority w:val="99"/>
    <w:semiHidden/>
    <w:unhideWhenUsed/>
    <w:rsid w:val="00334597"/>
    <w:rPr>
      <w:rFonts w:eastAsiaTheme="majorEastAsia" w:cstheme="majorBidi"/>
      <w:b/>
      <w:bCs/>
    </w:rPr>
  </w:style>
  <w:style w:type="character" w:styleId="IntenseEmphasis">
    <w:name w:val="Intense Emphasis"/>
    <w:basedOn w:val="DefaultParagraphFont"/>
    <w:uiPriority w:val="21"/>
    <w:semiHidden/>
    <w:qFormat/>
    <w:rsid w:val="00163F94"/>
    <w:rPr>
      <w:b/>
      <w:bCs/>
      <w:i/>
      <w:iCs/>
      <w:color w:val="052D3F" w:themeColor="accent1"/>
    </w:rPr>
  </w:style>
  <w:style w:type="paragraph" w:styleId="IntenseQuote">
    <w:name w:val="Intense Quote"/>
    <w:basedOn w:val="Normal"/>
    <w:next w:val="Normal"/>
    <w:link w:val="IntenseQuoteChar"/>
    <w:uiPriority w:val="30"/>
    <w:semiHidden/>
    <w:qFormat/>
    <w:rsid w:val="00163F94"/>
    <w:pPr>
      <w:pBdr>
        <w:bottom w:val="single" w:sz="4" w:space="4" w:color="052D3F" w:themeColor="accent1"/>
      </w:pBdr>
      <w:spacing w:before="200" w:after="280"/>
      <w:ind w:left="936" w:right="936"/>
    </w:pPr>
    <w:rPr>
      <w:b/>
      <w:bCs/>
      <w:i/>
      <w:iCs/>
      <w:color w:val="052D3F" w:themeColor="accent1"/>
      <w:lang w:val="en-AU"/>
    </w:rPr>
  </w:style>
  <w:style w:type="character" w:customStyle="1" w:styleId="IntenseQuoteChar">
    <w:name w:val="Intense Quote Char"/>
    <w:basedOn w:val="DefaultParagraphFont"/>
    <w:link w:val="IntenseQuote"/>
    <w:uiPriority w:val="30"/>
    <w:semiHidden/>
    <w:rsid w:val="00163F94"/>
    <w:rPr>
      <w:rFonts w:ascii="Yu Gothic UI" w:eastAsia="Yu Gothic UI" w:hAnsi="Yu Gothic UI" w:cs="Times New Roman"/>
      <w:b/>
      <w:bCs/>
      <w:i/>
      <w:iCs/>
      <w:color w:val="052D3F" w:themeColor="accent1"/>
      <w:sz w:val="22"/>
      <w:lang w:val="en-AU"/>
    </w:rPr>
  </w:style>
  <w:style w:type="character" w:styleId="IntenseReference">
    <w:name w:val="Intense Reference"/>
    <w:basedOn w:val="DefaultParagraphFont"/>
    <w:uiPriority w:val="32"/>
    <w:semiHidden/>
    <w:qFormat/>
    <w:rsid w:val="00163F94"/>
    <w:rPr>
      <w:b/>
      <w:bCs/>
      <w:smallCaps/>
      <w:color w:val="08445E" w:themeColor="accent2"/>
      <w:spacing w:val="5"/>
      <w:u w:val="single"/>
    </w:rPr>
  </w:style>
  <w:style w:type="table" w:styleId="LightGrid">
    <w:name w:val="Light Grid"/>
    <w:basedOn w:val="TableNormal"/>
    <w:uiPriority w:val="62"/>
    <w:rsid w:val="00163F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63F94"/>
    <w:pPr>
      <w:spacing w:after="0" w:line="240" w:lineRule="auto"/>
    </w:pPr>
    <w:tblPr>
      <w:tblStyleRowBandSize w:val="1"/>
      <w:tblStyleColBandSize w:val="1"/>
      <w:tblBorders>
        <w:top w:val="single" w:sz="8" w:space="0" w:color="052D3F" w:themeColor="accent1"/>
        <w:left w:val="single" w:sz="8" w:space="0" w:color="052D3F" w:themeColor="accent1"/>
        <w:bottom w:val="single" w:sz="8" w:space="0" w:color="052D3F" w:themeColor="accent1"/>
        <w:right w:val="single" w:sz="8" w:space="0" w:color="052D3F" w:themeColor="accent1"/>
        <w:insideH w:val="single" w:sz="8" w:space="0" w:color="052D3F" w:themeColor="accent1"/>
        <w:insideV w:val="single" w:sz="8" w:space="0" w:color="052D3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2D3F" w:themeColor="accent1"/>
          <w:left w:val="single" w:sz="8" w:space="0" w:color="052D3F" w:themeColor="accent1"/>
          <w:bottom w:val="single" w:sz="18" w:space="0" w:color="052D3F" w:themeColor="accent1"/>
          <w:right w:val="single" w:sz="8" w:space="0" w:color="052D3F" w:themeColor="accent1"/>
          <w:insideH w:val="nil"/>
          <w:insideV w:val="single" w:sz="8" w:space="0" w:color="052D3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2D3F" w:themeColor="accent1"/>
          <w:left w:val="single" w:sz="8" w:space="0" w:color="052D3F" w:themeColor="accent1"/>
          <w:bottom w:val="single" w:sz="8" w:space="0" w:color="052D3F" w:themeColor="accent1"/>
          <w:right w:val="single" w:sz="8" w:space="0" w:color="052D3F" w:themeColor="accent1"/>
          <w:insideH w:val="nil"/>
          <w:insideV w:val="single" w:sz="8" w:space="0" w:color="052D3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2D3F" w:themeColor="accent1"/>
          <w:left w:val="single" w:sz="8" w:space="0" w:color="052D3F" w:themeColor="accent1"/>
          <w:bottom w:val="single" w:sz="8" w:space="0" w:color="052D3F" w:themeColor="accent1"/>
          <w:right w:val="single" w:sz="8" w:space="0" w:color="052D3F" w:themeColor="accent1"/>
        </w:tcBorders>
      </w:tcPr>
    </w:tblStylePr>
    <w:tblStylePr w:type="band1Vert">
      <w:tblPr/>
      <w:tcPr>
        <w:tcBorders>
          <w:top w:val="single" w:sz="8" w:space="0" w:color="052D3F" w:themeColor="accent1"/>
          <w:left w:val="single" w:sz="8" w:space="0" w:color="052D3F" w:themeColor="accent1"/>
          <w:bottom w:val="single" w:sz="8" w:space="0" w:color="052D3F" w:themeColor="accent1"/>
          <w:right w:val="single" w:sz="8" w:space="0" w:color="052D3F" w:themeColor="accent1"/>
        </w:tcBorders>
        <w:shd w:val="clear" w:color="auto" w:fill="99D9F7" w:themeFill="accent1" w:themeFillTint="3F"/>
      </w:tcPr>
    </w:tblStylePr>
    <w:tblStylePr w:type="band1Horz">
      <w:tblPr/>
      <w:tcPr>
        <w:tcBorders>
          <w:top w:val="single" w:sz="8" w:space="0" w:color="052D3F" w:themeColor="accent1"/>
          <w:left w:val="single" w:sz="8" w:space="0" w:color="052D3F" w:themeColor="accent1"/>
          <w:bottom w:val="single" w:sz="8" w:space="0" w:color="052D3F" w:themeColor="accent1"/>
          <w:right w:val="single" w:sz="8" w:space="0" w:color="052D3F" w:themeColor="accent1"/>
          <w:insideV w:val="single" w:sz="8" w:space="0" w:color="052D3F" w:themeColor="accent1"/>
        </w:tcBorders>
        <w:shd w:val="clear" w:color="auto" w:fill="99D9F7" w:themeFill="accent1" w:themeFillTint="3F"/>
      </w:tcPr>
    </w:tblStylePr>
    <w:tblStylePr w:type="band2Horz">
      <w:tblPr/>
      <w:tcPr>
        <w:tcBorders>
          <w:top w:val="single" w:sz="8" w:space="0" w:color="052D3F" w:themeColor="accent1"/>
          <w:left w:val="single" w:sz="8" w:space="0" w:color="052D3F" w:themeColor="accent1"/>
          <w:bottom w:val="single" w:sz="8" w:space="0" w:color="052D3F" w:themeColor="accent1"/>
          <w:right w:val="single" w:sz="8" w:space="0" w:color="052D3F" w:themeColor="accent1"/>
          <w:insideV w:val="single" w:sz="8" w:space="0" w:color="052D3F" w:themeColor="accent1"/>
        </w:tcBorders>
      </w:tcPr>
    </w:tblStylePr>
  </w:style>
  <w:style w:type="table" w:styleId="LightGrid-Accent2">
    <w:name w:val="Light Grid Accent 2"/>
    <w:basedOn w:val="TableNormal"/>
    <w:uiPriority w:val="62"/>
    <w:rsid w:val="00163F94"/>
    <w:pPr>
      <w:spacing w:after="0" w:line="240" w:lineRule="auto"/>
    </w:pPr>
    <w:tblPr>
      <w:tblStyleRowBandSize w:val="1"/>
      <w:tblStyleColBandSize w:val="1"/>
      <w:tblBorders>
        <w:top w:val="single" w:sz="8" w:space="0" w:color="08445E" w:themeColor="accent2"/>
        <w:left w:val="single" w:sz="8" w:space="0" w:color="08445E" w:themeColor="accent2"/>
        <w:bottom w:val="single" w:sz="8" w:space="0" w:color="08445E" w:themeColor="accent2"/>
        <w:right w:val="single" w:sz="8" w:space="0" w:color="08445E" w:themeColor="accent2"/>
        <w:insideH w:val="single" w:sz="8" w:space="0" w:color="08445E" w:themeColor="accent2"/>
        <w:insideV w:val="single" w:sz="8" w:space="0" w:color="08445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8445E" w:themeColor="accent2"/>
          <w:left w:val="single" w:sz="8" w:space="0" w:color="08445E" w:themeColor="accent2"/>
          <w:bottom w:val="single" w:sz="18" w:space="0" w:color="08445E" w:themeColor="accent2"/>
          <w:right w:val="single" w:sz="8" w:space="0" w:color="08445E" w:themeColor="accent2"/>
          <w:insideH w:val="nil"/>
          <w:insideV w:val="single" w:sz="8" w:space="0" w:color="08445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8445E" w:themeColor="accent2"/>
          <w:left w:val="single" w:sz="8" w:space="0" w:color="08445E" w:themeColor="accent2"/>
          <w:bottom w:val="single" w:sz="8" w:space="0" w:color="08445E" w:themeColor="accent2"/>
          <w:right w:val="single" w:sz="8" w:space="0" w:color="08445E" w:themeColor="accent2"/>
          <w:insideH w:val="nil"/>
          <w:insideV w:val="single" w:sz="8" w:space="0" w:color="08445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8445E" w:themeColor="accent2"/>
          <w:left w:val="single" w:sz="8" w:space="0" w:color="08445E" w:themeColor="accent2"/>
          <w:bottom w:val="single" w:sz="8" w:space="0" w:color="08445E" w:themeColor="accent2"/>
          <w:right w:val="single" w:sz="8" w:space="0" w:color="08445E" w:themeColor="accent2"/>
        </w:tcBorders>
      </w:tcPr>
    </w:tblStylePr>
    <w:tblStylePr w:type="band1Vert">
      <w:tblPr/>
      <w:tcPr>
        <w:tcBorders>
          <w:top w:val="single" w:sz="8" w:space="0" w:color="08445E" w:themeColor="accent2"/>
          <w:left w:val="single" w:sz="8" w:space="0" w:color="08445E" w:themeColor="accent2"/>
          <w:bottom w:val="single" w:sz="8" w:space="0" w:color="08445E" w:themeColor="accent2"/>
          <w:right w:val="single" w:sz="8" w:space="0" w:color="08445E" w:themeColor="accent2"/>
        </w:tcBorders>
        <w:shd w:val="clear" w:color="auto" w:fill="A1DDF7" w:themeFill="accent2" w:themeFillTint="3F"/>
      </w:tcPr>
    </w:tblStylePr>
    <w:tblStylePr w:type="band1Horz">
      <w:tblPr/>
      <w:tcPr>
        <w:tcBorders>
          <w:top w:val="single" w:sz="8" w:space="0" w:color="08445E" w:themeColor="accent2"/>
          <w:left w:val="single" w:sz="8" w:space="0" w:color="08445E" w:themeColor="accent2"/>
          <w:bottom w:val="single" w:sz="8" w:space="0" w:color="08445E" w:themeColor="accent2"/>
          <w:right w:val="single" w:sz="8" w:space="0" w:color="08445E" w:themeColor="accent2"/>
          <w:insideV w:val="single" w:sz="8" w:space="0" w:color="08445E" w:themeColor="accent2"/>
        </w:tcBorders>
        <w:shd w:val="clear" w:color="auto" w:fill="A1DDF7" w:themeFill="accent2" w:themeFillTint="3F"/>
      </w:tcPr>
    </w:tblStylePr>
    <w:tblStylePr w:type="band2Horz">
      <w:tblPr/>
      <w:tcPr>
        <w:tcBorders>
          <w:top w:val="single" w:sz="8" w:space="0" w:color="08445E" w:themeColor="accent2"/>
          <w:left w:val="single" w:sz="8" w:space="0" w:color="08445E" w:themeColor="accent2"/>
          <w:bottom w:val="single" w:sz="8" w:space="0" w:color="08445E" w:themeColor="accent2"/>
          <w:right w:val="single" w:sz="8" w:space="0" w:color="08445E" w:themeColor="accent2"/>
          <w:insideV w:val="single" w:sz="8" w:space="0" w:color="08445E" w:themeColor="accent2"/>
        </w:tcBorders>
      </w:tcPr>
    </w:tblStylePr>
  </w:style>
  <w:style w:type="table" w:styleId="LightGrid-Accent3">
    <w:name w:val="Light Grid Accent 3"/>
    <w:basedOn w:val="TableNormal"/>
    <w:uiPriority w:val="62"/>
    <w:rsid w:val="00163F94"/>
    <w:pPr>
      <w:spacing w:after="0" w:line="240" w:lineRule="auto"/>
    </w:pPr>
    <w:tblPr>
      <w:tblStyleRowBandSize w:val="1"/>
      <w:tblStyleColBandSize w:val="1"/>
      <w:tblBorders>
        <w:top w:val="single" w:sz="8" w:space="0" w:color="316379" w:themeColor="accent3"/>
        <w:left w:val="single" w:sz="8" w:space="0" w:color="316379" w:themeColor="accent3"/>
        <w:bottom w:val="single" w:sz="8" w:space="0" w:color="316379" w:themeColor="accent3"/>
        <w:right w:val="single" w:sz="8" w:space="0" w:color="316379" w:themeColor="accent3"/>
        <w:insideH w:val="single" w:sz="8" w:space="0" w:color="316379" w:themeColor="accent3"/>
        <w:insideV w:val="single" w:sz="8" w:space="0" w:color="31637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16379" w:themeColor="accent3"/>
          <w:left w:val="single" w:sz="8" w:space="0" w:color="316379" w:themeColor="accent3"/>
          <w:bottom w:val="single" w:sz="18" w:space="0" w:color="316379" w:themeColor="accent3"/>
          <w:right w:val="single" w:sz="8" w:space="0" w:color="316379" w:themeColor="accent3"/>
          <w:insideH w:val="nil"/>
          <w:insideV w:val="single" w:sz="8" w:space="0" w:color="31637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16379" w:themeColor="accent3"/>
          <w:left w:val="single" w:sz="8" w:space="0" w:color="316379" w:themeColor="accent3"/>
          <w:bottom w:val="single" w:sz="8" w:space="0" w:color="316379" w:themeColor="accent3"/>
          <w:right w:val="single" w:sz="8" w:space="0" w:color="316379" w:themeColor="accent3"/>
          <w:insideH w:val="nil"/>
          <w:insideV w:val="single" w:sz="8" w:space="0" w:color="31637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16379" w:themeColor="accent3"/>
          <w:left w:val="single" w:sz="8" w:space="0" w:color="316379" w:themeColor="accent3"/>
          <w:bottom w:val="single" w:sz="8" w:space="0" w:color="316379" w:themeColor="accent3"/>
          <w:right w:val="single" w:sz="8" w:space="0" w:color="316379" w:themeColor="accent3"/>
        </w:tcBorders>
      </w:tcPr>
    </w:tblStylePr>
    <w:tblStylePr w:type="band1Vert">
      <w:tblPr/>
      <w:tcPr>
        <w:tcBorders>
          <w:top w:val="single" w:sz="8" w:space="0" w:color="316379" w:themeColor="accent3"/>
          <w:left w:val="single" w:sz="8" w:space="0" w:color="316379" w:themeColor="accent3"/>
          <w:bottom w:val="single" w:sz="8" w:space="0" w:color="316379" w:themeColor="accent3"/>
          <w:right w:val="single" w:sz="8" w:space="0" w:color="316379" w:themeColor="accent3"/>
        </w:tcBorders>
        <w:shd w:val="clear" w:color="auto" w:fill="C3DBE6" w:themeFill="accent3" w:themeFillTint="3F"/>
      </w:tcPr>
    </w:tblStylePr>
    <w:tblStylePr w:type="band1Horz">
      <w:tblPr/>
      <w:tcPr>
        <w:tcBorders>
          <w:top w:val="single" w:sz="8" w:space="0" w:color="316379" w:themeColor="accent3"/>
          <w:left w:val="single" w:sz="8" w:space="0" w:color="316379" w:themeColor="accent3"/>
          <w:bottom w:val="single" w:sz="8" w:space="0" w:color="316379" w:themeColor="accent3"/>
          <w:right w:val="single" w:sz="8" w:space="0" w:color="316379" w:themeColor="accent3"/>
          <w:insideV w:val="single" w:sz="8" w:space="0" w:color="316379" w:themeColor="accent3"/>
        </w:tcBorders>
        <w:shd w:val="clear" w:color="auto" w:fill="C3DBE6" w:themeFill="accent3" w:themeFillTint="3F"/>
      </w:tcPr>
    </w:tblStylePr>
    <w:tblStylePr w:type="band2Horz">
      <w:tblPr/>
      <w:tcPr>
        <w:tcBorders>
          <w:top w:val="single" w:sz="8" w:space="0" w:color="316379" w:themeColor="accent3"/>
          <w:left w:val="single" w:sz="8" w:space="0" w:color="316379" w:themeColor="accent3"/>
          <w:bottom w:val="single" w:sz="8" w:space="0" w:color="316379" w:themeColor="accent3"/>
          <w:right w:val="single" w:sz="8" w:space="0" w:color="316379" w:themeColor="accent3"/>
          <w:insideV w:val="single" w:sz="8" w:space="0" w:color="316379" w:themeColor="accent3"/>
        </w:tcBorders>
      </w:tcPr>
    </w:tblStylePr>
  </w:style>
  <w:style w:type="table" w:styleId="LightGrid-Accent4">
    <w:name w:val="Light Grid Accent 4"/>
    <w:basedOn w:val="TableNormal"/>
    <w:uiPriority w:val="62"/>
    <w:rsid w:val="00163F94"/>
    <w:pPr>
      <w:spacing w:after="0" w:line="240" w:lineRule="auto"/>
    </w:pPr>
    <w:tblPr>
      <w:tblStyleRowBandSize w:val="1"/>
      <w:tblStyleColBandSize w:val="1"/>
      <w:tblBorders>
        <w:top w:val="single" w:sz="8" w:space="0" w:color="84A2AF" w:themeColor="accent4"/>
        <w:left w:val="single" w:sz="8" w:space="0" w:color="84A2AF" w:themeColor="accent4"/>
        <w:bottom w:val="single" w:sz="8" w:space="0" w:color="84A2AF" w:themeColor="accent4"/>
        <w:right w:val="single" w:sz="8" w:space="0" w:color="84A2AF" w:themeColor="accent4"/>
        <w:insideH w:val="single" w:sz="8" w:space="0" w:color="84A2AF" w:themeColor="accent4"/>
        <w:insideV w:val="single" w:sz="8" w:space="0" w:color="84A2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2AF" w:themeColor="accent4"/>
          <w:left w:val="single" w:sz="8" w:space="0" w:color="84A2AF" w:themeColor="accent4"/>
          <w:bottom w:val="single" w:sz="18" w:space="0" w:color="84A2AF" w:themeColor="accent4"/>
          <w:right w:val="single" w:sz="8" w:space="0" w:color="84A2AF" w:themeColor="accent4"/>
          <w:insideH w:val="nil"/>
          <w:insideV w:val="single" w:sz="8" w:space="0" w:color="84A2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2AF" w:themeColor="accent4"/>
          <w:left w:val="single" w:sz="8" w:space="0" w:color="84A2AF" w:themeColor="accent4"/>
          <w:bottom w:val="single" w:sz="8" w:space="0" w:color="84A2AF" w:themeColor="accent4"/>
          <w:right w:val="single" w:sz="8" w:space="0" w:color="84A2AF" w:themeColor="accent4"/>
          <w:insideH w:val="nil"/>
          <w:insideV w:val="single" w:sz="8" w:space="0" w:color="84A2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2AF" w:themeColor="accent4"/>
          <w:left w:val="single" w:sz="8" w:space="0" w:color="84A2AF" w:themeColor="accent4"/>
          <w:bottom w:val="single" w:sz="8" w:space="0" w:color="84A2AF" w:themeColor="accent4"/>
          <w:right w:val="single" w:sz="8" w:space="0" w:color="84A2AF" w:themeColor="accent4"/>
        </w:tcBorders>
      </w:tcPr>
    </w:tblStylePr>
    <w:tblStylePr w:type="band1Vert">
      <w:tblPr/>
      <w:tcPr>
        <w:tcBorders>
          <w:top w:val="single" w:sz="8" w:space="0" w:color="84A2AF" w:themeColor="accent4"/>
          <w:left w:val="single" w:sz="8" w:space="0" w:color="84A2AF" w:themeColor="accent4"/>
          <w:bottom w:val="single" w:sz="8" w:space="0" w:color="84A2AF" w:themeColor="accent4"/>
          <w:right w:val="single" w:sz="8" w:space="0" w:color="84A2AF" w:themeColor="accent4"/>
        </w:tcBorders>
        <w:shd w:val="clear" w:color="auto" w:fill="E0E7EB" w:themeFill="accent4" w:themeFillTint="3F"/>
      </w:tcPr>
    </w:tblStylePr>
    <w:tblStylePr w:type="band1Horz">
      <w:tblPr/>
      <w:tcPr>
        <w:tcBorders>
          <w:top w:val="single" w:sz="8" w:space="0" w:color="84A2AF" w:themeColor="accent4"/>
          <w:left w:val="single" w:sz="8" w:space="0" w:color="84A2AF" w:themeColor="accent4"/>
          <w:bottom w:val="single" w:sz="8" w:space="0" w:color="84A2AF" w:themeColor="accent4"/>
          <w:right w:val="single" w:sz="8" w:space="0" w:color="84A2AF" w:themeColor="accent4"/>
          <w:insideV w:val="single" w:sz="8" w:space="0" w:color="84A2AF" w:themeColor="accent4"/>
        </w:tcBorders>
        <w:shd w:val="clear" w:color="auto" w:fill="E0E7EB" w:themeFill="accent4" w:themeFillTint="3F"/>
      </w:tcPr>
    </w:tblStylePr>
    <w:tblStylePr w:type="band2Horz">
      <w:tblPr/>
      <w:tcPr>
        <w:tcBorders>
          <w:top w:val="single" w:sz="8" w:space="0" w:color="84A2AF" w:themeColor="accent4"/>
          <w:left w:val="single" w:sz="8" w:space="0" w:color="84A2AF" w:themeColor="accent4"/>
          <w:bottom w:val="single" w:sz="8" w:space="0" w:color="84A2AF" w:themeColor="accent4"/>
          <w:right w:val="single" w:sz="8" w:space="0" w:color="84A2AF" w:themeColor="accent4"/>
          <w:insideV w:val="single" w:sz="8" w:space="0" w:color="84A2AF" w:themeColor="accent4"/>
        </w:tcBorders>
      </w:tcPr>
    </w:tblStylePr>
  </w:style>
  <w:style w:type="table" w:styleId="LightGrid-Accent5">
    <w:name w:val="Light Grid Accent 5"/>
    <w:basedOn w:val="TableNormal"/>
    <w:uiPriority w:val="62"/>
    <w:rsid w:val="00163F94"/>
    <w:pPr>
      <w:spacing w:after="0" w:line="240" w:lineRule="auto"/>
    </w:pPr>
    <w:tblPr>
      <w:tblStyleRowBandSize w:val="1"/>
      <w:tblStyleColBandSize w:val="1"/>
      <w:tblBorders>
        <w:top w:val="single" w:sz="8" w:space="0" w:color="ADC1C9" w:themeColor="accent5"/>
        <w:left w:val="single" w:sz="8" w:space="0" w:color="ADC1C9" w:themeColor="accent5"/>
        <w:bottom w:val="single" w:sz="8" w:space="0" w:color="ADC1C9" w:themeColor="accent5"/>
        <w:right w:val="single" w:sz="8" w:space="0" w:color="ADC1C9" w:themeColor="accent5"/>
        <w:insideH w:val="single" w:sz="8" w:space="0" w:color="ADC1C9" w:themeColor="accent5"/>
        <w:insideV w:val="single" w:sz="8" w:space="0" w:color="ADC1C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C1C9" w:themeColor="accent5"/>
          <w:left w:val="single" w:sz="8" w:space="0" w:color="ADC1C9" w:themeColor="accent5"/>
          <w:bottom w:val="single" w:sz="18" w:space="0" w:color="ADC1C9" w:themeColor="accent5"/>
          <w:right w:val="single" w:sz="8" w:space="0" w:color="ADC1C9" w:themeColor="accent5"/>
          <w:insideH w:val="nil"/>
          <w:insideV w:val="single" w:sz="8" w:space="0" w:color="ADC1C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C1C9" w:themeColor="accent5"/>
          <w:left w:val="single" w:sz="8" w:space="0" w:color="ADC1C9" w:themeColor="accent5"/>
          <w:bottom w:val="single" w:sz="8" w:space="0" w:color="ADC1C9" w:themeColor="accent5"/>
          <w:right w:val="single" w:sz="8" w:space="0" w:color="ADC1C9" w:themeColor="accent5"/>
          <w:insideH w:val="nil"/>
          <w:insideV w:val="single" w:sz="8" w:space="0" w:color="ADC1C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C1C9" w:themeColor="accent5"/>
          <w:left w:val="single" w:sz="8" w:space="0" w:color="ADC1C9" w:themeColor="accent5"/>
          <w:bottom w:val="single" w:sz="8" w:space="0" w:color="ADC1C9" w:themeColor="accent5"/>
          <w:right w:val="single" w:sz="8" w:space="0" w:color="ADC1C9" w:themeColor="accent5"/>
        </w:tcBorders>
      </w:tcPr>
    </w:tblStylePr>
    <w:tblStylePr w:type="band1Vert">
      <w:tblPr/>
      <w:tcPr>
        <w:tcBorders>
          <w:top w:val="single" w:sz="8" w:space="0" w:color="ADC1C9" w:themeColor="accent5"/>
          <w:left w:val="single" w:sz="8" w:space="0" w:color="ADC1C9" w:themeColor="accent5"/>
          <w:bottom w:val="single" w:sz="8" w:space="0" w:color="ADC1C9" w:themeColor="accent5"/>
          <w:right w:val="single" w:sz="8" w:space="0" w:color="ADC1C9" w:themeColor="accent5"/>
        </w:tcBorders>
        <w:shd w:val="clear" w:color="auto" w:fill="EAEFF1" w:themeFill="accent5" w:themeFillTint="3F"/>
      </w:tcPr>
    </w:tblStylePr>
    <w:tblStylePr w:type="band1Horz">
      <w:tblPr/>
      <w:tcPr>
        <w:tcBorders>
          <w:top w:val="single" w:sz="8" w:space="0" w:color="ADC1C9" w:themeColor="accent5"/>
          <w:left w:val="single" w:sz="8" w:space="0" w:color="ADC1C9" w:themeColor="accent5"/>
          <w:bottom w:val="single" w:sz="8" w:space="0" w:color="ADC1C9" w:themeColor="accent5"/>
          <w:right w:val="single" w:sz="8" w:space="0" w:color="ADC1C9" w:themeColor="accent5"/>
          <w:insideV w:val="single" w:sz="8" w:space="0" w:color="ADC1C9" w:themeColor="accent5"/>
        </w:tcBorders>
        <w:shd w:val="clear" w:color="auto" w:fill="EAEFF1" w:themeFill="accent5" w:themeFillTint="3F"/>
      </w:tcPr>
    </w:tblStylePr>
    <w:tblStylePr w:type="band2Horz">
      <w:tblPr/>
      <w:tcPr>
        <w:tcBorders>
          <w:top w:val="single" w:sz="8" w:space="0" w:color="ADC1C9" w:themeColor="accent5"/>
          <w:left w:val="single" w:sz="8" w:space="0" w:color="ADC1C9" w:themeColor="accent5"/>
          <w:bottom w:val="single" w:sz="8" w:space="0" w:color="ADC1C9" w:themeColor="accent5"/>
          <w:right w:val="single" w:sz="8" w:space="0" w:color="ADC1C9" w:themeColor="accent5"/>
          <w:insideV w:val="single" w:sz="8" w:space="0" w:color="ADC1C9" w:themeColor="accent5"/>
        </w:tcBorders>
      </w:tcPr>
    </w:tblStylePr>
  </w:style>
  <w:style w:type="table" w:styleId="LightGrid-Accent6">
    <w:name w:val="Light Grid Accent 6"/>
    <w:basedOn w:val="TableNormal"/>
    <w:uiPriority w:val="62"/>
    <w:rsid w:val="00163F94"/>
    <w:pPr>
      <w:spacing w:after="0" w:line="240" w:lineRule="auto"/>
    </w:pPr>
    <w:tblPr>
      <w:tblStyleRowBandSize w:val="1"/>
      <w:tblStyleColBandSize w:val="1"/>
      <w:tblBorders>
        <w:top w:val="single" w:sz="8" w:space="0" w:color="FF5000" w:themeColor="accent6"/>
        <w:left w:val="single" w:sz="8" w:space="0" w:color="FF5000" w:themeColor="accent6"/>
        <w:bottom w:val="single" w:sz="8" w:space="0" w:color="FF5000" w:themeColor="accent6"/>
        <w:right w:val="single" w:sz="8" w:space="0" w:color="FF5000" w:themeColor="accent6"/>
        <w:insideH w:val="single" w:sz="8" w:space="0" w:color="FF5000" w:themeColor="accent6"/>
        <w:insideV w:val="single" w:sz="8" w:space="0" w:color="FF5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000" w:themeColor="accent6"/>
          <w:left w:val="single" w:sz="8" w:space="0" w:color="FF5000" w:themeColor="accent6"/>
          <w:bottom w:val="single" w:sz="18" w:space="0" w:color="FF5000" w:themeColor="accent6"/>
          <w:right w:val="single" w:sz="8" w:space="0" w:color="FF5000" w:themeColor="accent6"/>
          <w:insideH w:val="nil"/>
          <w:insideV w:val="single" w:sz="8" w:space="0" w:color="FF5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000" w:themeColor="accent6"/>
          <w:left w:val="single" w:sz="8" w:space="0" w:color="FF5000" w:themeColor="accent6"/>
          <w:bottom w:val="single" w:sz="8" w:space="0" w:color="FF5000" w:themeColor="accent6"/>
          <w:right w:val="single" w:sz="8" w:space="0" w:color="FF5000" w:themeColor="accent6"/>
          <w:insideH w:val="nil"/>
          <w:insideV w:val="single" w:sz="8" w:space="0" w:color="FF5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000" w:themeColor="accent6"/>
          <w:left w:val="single" w:sz="8" w:space="0" w:color="FF5000" w:themeColor="accent6"/>
          <w:bottom w:val="single" w:sz="8" w:space="0" w:color="FF5000" w:themeColor="accent6"/>
          <w:right w:val="single" w:sz="8" w:space="0" w:color="FF5000" w:themeColor="accent6"/>
        </w:tcBorders>
      </w:tcPr>
    </w:tblStylePr>
    <w:tblStylePr w:type="band1Vert">
      <w:tblPr/>
      <w:tcPr>
        <w:tcBorders>
          <w:top w:val="single" w:sz="8" w:space="0" w:color="FF5000" w:themeColor="accent6"/>
          <w:left w:val="single" w:sz="8" w:space="0" w:color="FF5000" w:themeColor="accent6"/>
          <w:bottom w:val="single" w:sz="8" w:space="0" w:color="FF5000" w:themeColor="accent6"/>
          <w:right w:val="single" w:sz="8" w:space="0" w:color="FF5000" w:themeColor="accent6"/>
        </w:tcBorders>
        <w:shd w:val="clear" w:color="auto" w:fill="FFD3C0" w:themeFill="accent6" w:themeFillTint="3F"/>
      </w:tcPr>
    </w:tblStylePr>
    <w:tblStylePr w:type="band1Horz">
      <w:tblPr/>
      <w:tcPr>
        <w:tcBorders>
          <w:top w:val="single" w:sz="8" w:space="0" w:color="FF5000" w:themeColor="accent6"/>
          <w:left w:val="single" w:sz="8" w:space="0" w:color="FF5000" w:themeColor="accent6"/>
          <w:bottom w:val="single" w:sz="8" w:space="0" w:color="FF5000" w:themeColor="accent6"/>
          <w:right w:val="single" w:sz="8" w:space="0" w:color="FF5000" w:themeColor="accent6"/>
          <w:insideV w:val="single" w:sz="8" w:space="0" w:color="FF5000" w:themeColor="accent6"/>
        </w:tcBorders>
        <w:shd w:val="clear" w:color="auto" w:fill="FFD3C0" w:themeFill="accent6" w:themeFillTint="3F"/>
      </w:tcPr>
    </w:tblStylePr>
    <w:tblStylePr w:type="band2Horz">
      <w:tblPr/>
      <w:tcPr>
        <w:tcBorders>
          <w:top w:val="single" w:sz="8" w:space="0" w:color="FF5000" w:themeColor="accent6"/>
          <w:left w:val="single" w:sz="8" w:space="0" w:color="FF5000" w:themeColor="accent6"/>
          <w:bottom w:val="single" w:sz="8" w:space="0" w:color="FF5000" w:themeColor="accent6"/>
          <w:right w:val="single" w:sz="8" w:space="0" w:color="FF5000" w:themeColor="accent6"/>
          <w:insideV w:val="single" w:sz="8" w:space="0" w:color="FF5000" w:themeColor="accent6"/>
        </w:tcBorders>
      </w:tcPr>
    </w:tblStylePr>
  </w:style>
  <w:style w:type="table" w:styleId="LightList">
    <w:name w:val="Light List"/>
    <w:basedOn w:val="TableNormal"/>
    <w:uiPriority w:val="61"/>
    <w:rsid w:val="00EF07D9"/>
    <w:pPr>
      <w:spacing w:after="0" w:line="240" w:lineRule="auto"/>
    </w:pPr>
    <w:rPr>
      <w:rFonts w:eastAsia="Times New Roman"/>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63F94"/>
    <w:pPr>
      <w:spacing w:after="0" w:line="240" w:lineRule="auto"/>
    </w:pPr>
    <w:tblPr>
      <w:tblStyleRowBandSize w:val="1"/>
      <w:tblStyleColBandSize w:val="1"/>
      <w:tblBorders>
        <w:top w:val="single" w:sz="8" w:space="0" w:color="052D3F" w:themeColor="accent1"/>
        <w:left w:val="single" w:sz="8" w:space="0" w:color="052D3F" w:themeColor="accent1"/>
        <w:bottom w:val="single" w:sz="8" w:space="0" w:color="052D3F" w:themeColor="accent1"/>
        <w:right w:val="single" w:sz="8" w:space="0" w:color="052D3F" w:themeColor="accent1"/>
      </w:tblBorders>
    </w:tblPr>
    <w:tblStylePr w:type="firstRow">
      <w:pPr>
        <w:spacing w:before="0" w:after="0" w:line="240" w:lineRule="auto"/>
      </w:pPr>
      <w:rPr>
        <w:b/>
        <w:bCs/>
        <w:color w:val="FFFFFF" w:themeColor="background1"/>
      </w:rPr>
      <w:tblPr/>
      <w:tcPr>
        <w:shd w:val="clear" w:color="auto" w:fill="052D3F" w:themeFill="accent1"/>
      </w:tcPr>
    </w:tblStylePr>
    <w:tblStylePr w:type="lastRow">
      <w:pPr>
        <w:spacing w:before="0" w:after="0" w:line="240" w:lineRule="auto"/>
      </w:pPr>
      <w:rPr>
        <w:b/>
        <w:bCs/>
      </w:rPr>
      <w:tblPr/>
      <w:tcPr>
        <w:tcBorders>
          <w:top w:val="double" w:sz="6" w:space="0" w:color="052D3F" w:themeColor="accent1"/>
          <w:left w:val="single" w:sz="8" w:space="0" w:color="052D3F" w:themeColor="accent1"/>
          <w:bottom w:val="single" w:sz="8" w:space="0" w:color="052D3F" w:themeColor="accent1"/>
          <w:right w:val="single" w:sz="8" w:space="0" w:color="052D3F" w:themeColor="accent1"/>
        </w:tcBorders>
      </w:tcPr>
    </w:tblStylePr>
    <w:tblStylePr w:type="firstCol">
      <w:rPr>
        <w:b/>
        <w:bCs/>
      </w:rPr>
    </w:tblStylePr>
    <w:tblStylePr w:type="lastCol">
      <w:rPr>
        <w:b/>
        <w:bCs/>
      </w:rPr>
    </w:tblStylePr>
    <w:tblStylePr w:type="band1Vert">
      <w:tblPr/>
      <w:tcPr>
        <w:tcBorders>
          <w:top w:val="single" w:sz="8" w:space="0" w:color="052D3F" w:themeColor="accent1"/>
          <w:left w:val="single" w:sz="8" w:space="0" w:color="052D3F" w:themeColor="accent1"/>
          <w:bottom w:val="single" w:sz="8" w:space="0" w:color="052D3F" w:themeColor="accent1"/>
          <w:right w:val="single" w:sz="8" w:space="0" w:color="052D3F" w:themeColor="accent1"/>
        </w:tcBorders>
      </w:tcPr>
    </w:tblStylePr>
    <w:tblStylePr w:type="band1Horz">
      <w:tblPr/>
      <w:tcPr>
        <w:tcBorders>
          <w:top w:val="single" w:sz="8" w:space="0" w:color="052D3F" w:themeColor="accent1"/>
          <w:left w:val="single" w:sz="8" w:space="0" w:color="052D3F" w:themeColor="accent1"/>
          <w:bottom w:val="single" w:sz="8" w:space="0" w:color="052D3F" w:themeColor="accent1"/>
          <w:right w:val="single" w:sz="8" w:space="0" w:color="052D3F" w:themeColor="accent1"/>
        </w:tcBorders>
      </w:tcPr>
    </w:tblStylePr>
  </w:style>
  <w:style w:type="table" w:styleId="LightList-Accent2">
    <w:name w:val="Light List Accent 2"/>
    <w:basedOn w:val="TableNormal"/>
    <w:uiPriority w:val="61"/>
    <w:rsid w:val="00163F94"/>
    <w:pPr>
      <w:spacing w:after="0" w:line="240" w:lineRule="auto"/>
    </w:pPr>
    <w:tblPr>
      <w:tblStyleRowBandSize w:val="1"/>
      <w:tblStyleColBandSize w:val="1"/>
      <w:tblBorders>
        <w:top w:val="single" w:sz="8" w:space="0" w:color="08445E" w:themeColor="accent2"/>
        <w:left w:val="single" w:sz="8" w:space="0" w:color="08445E" w:themeColor="accent2"/>
        <w:bottom w:val="single" w:sz="8" w:space="0" w:color="08445E" w:themeColor="accent2"/>
        <w:right w:val="single" w:sz="8" w:space="0" w:color="08445E" w:themeColor="accent2"/>
      </w:tblBorders>
    </w:tblPr>
    <w:tblStylePr w:type="firstRow">
      <w:pPr>
        <w:spacing w:before="0" w:after="0" w:line="240" w:lineRule="auto"/>
      </w:pPr>
      <w:rPr>
        <w:b/>
        <w:bCs/>
        <w:color w:val="FFFFFF" w:themeColor="background1"/>
      </w:rPr>
      <w:tblPr/>
      <w:tcPr>
        <w:shd w:val="clear" w:color="auto" w:fill="08445E" w:themeFill="accent2"/>
      </w:tcPr>
    </w:tblStylePr>
    <w:tblStylePr w:type="lastRow">
      <w:pPr>
        <w:spacing w:before="0" w:after="0" w:line="240" w:lineRule="auto"/>
      </w:pPr>
      <w:rPr>
        <w:b/>
        <w:bCs/>
      </w:rPr>
      <w:tblPr/>
      <w:tcPr>
        <w:tcBorders>
          <w:top w:val="double" w:sz="6" w:space="0" w:color="08445E" w:themeColor="accent2"/>
          <w:left w:val="single" w:sz="8" w:space="0" w:color="08445E" w:themeColor="accent2"/>
          <w:bottom w:val="single" w:sz="8" w:space="0" w:color="08445E" w:themeColor="accent2"/>
          <w:right w:val="single" w:sz="8" w:space="0" w:color="08445E" w:themeColor="accent2"/>
        </w:tcBorders>
      </w:tcPr>
    </w:tblStylePr>
    <w:tblStylePr w:type="firstCol">
      <w:rPr>
        <w:b/>
        <w:bCs/>
      </w:rPr>
    </w:tblStylePr>
    <w:tblStylePr w:type="lastCol">
      <w:rPr>
        <w:b/>
        <w:bCs/>
      </w:rPr>
    </w:tblStylePr>
    <w:tblStylePr w:type="band1Vert">
      <w:tblPr/>
      <w:tcPr>
        <w:tcBorders>
          <w:top w:val="single" w:sz="8" w:space="0" w:color="08445E" w:themeColor="accent2"/>
          <w:left w:val="single" w:sz="8" w:space="0" w:color="08445E" w:themeColor="accent2"/>
          <w:bottom w:val="single" w:sz="8" w:space="0" w:color="08445E" w:themeColor="accent2"/>
          <w:right w:val="single" w:sz="8" w:space="0" w:color="08445E" w:themeColor="accent2"/>
        </w:tcBorders>
      </w:tcPr>
    </w:tblStylePr>
    <w:tblStylePr w:type="band1Horz">
      <w:tblPr/>
      <w:tcPr>
        <w:tcBorders>
          <w:top w:val="single" w:sz="8" w:space="0" w:color="08445E" w:themeColor="accent2"/>
          <w:left w:val="single" w:sz="8" w:space="0" w:color="08445E" w:themeColor="accent2"/>
          <w:bottom w:val="single" w:sz="8" w:space="0" w:color="08445E" w:themeColor="accent2"/>
          <w:right w:val="single" w:sz="8" w:space="0" w:color="08445E" w:themeColor="accent2"/>
        </w:tcBorders>
      </w:tcPr>
    </w:tblStylePr>
  </w:style>
  <w:style w:type="table" w:styleId="LightList-Accent3">
    <w:name w:val="Light List Accent 3"/>
    <w:basedOn w:val="TableNormal"/>
    <w:uiPriority w:val="61"/>
    <w:rsid w:val="00163F94"/>
    <w:pPr>
      <w:spacing w:after="0" w:line="240" w:lineRule="auto"/>
    </w:pPr>
    <w:tblPr>
      <w:tblStyleRowBandSize w:val="1"/>
      <w:tblStyleColBandSize w:val="1"/>
      <w:tblBorders>
        <w:top w:val="single" w:sz="8" w:space="0" w:color="316379" w:themeColor="accent3"/>
        <w:left w:val="single" w:sz="8" w:space="0" w:color="316379" w:themeColor="accent3"/>
        <w:bottom w:val="single" w:sz="8" w:space="0" w:color="316379" w:themeColor="accent3"/>
        <w:right w:val="single" w:sz="8" w:space="0" w:color="316379" w:themeColor="accent3"/>
      </w:tblBorders>
    </w:tblPr>
    <w:tblStylePr w:type="firstRow">
      <w:pPr>
        <w:spacing w:before="0" w:after="0" w:line="240" w:lineRule="auto"/>
      </w:pPr>
      <w:rPr>
        <w:b/>
        <w:bCs/>
        <w:color w:val="FFFFFF" w:themeColor="background1"/>
      </w:rPr>
      <w:tblPr/>
      <w:tcPr>
        <w:shd w:val="clear" w:color="auto" w:fill="316379" w:themeFill="accent3"/>
      </w:tcPr>
    </w:tblStylePr>
    <w:tblStylePr w:type="lastRow">
      <w:pPr>
        <w:spacing w:before="0" w:after="0" w:line="240" w:lineRule="auto"/>
      </w:pPr>
      <w:rPr>
        <w:b/>
        <w:bCs/>
      </w:rPr>
      <w:tblPr/>
      <w:tcPr>
        <w:tcBorders>
          <w:top w:val="double" w:sz="6" w:space="0" w:color="316379" w:themeColor="accent3"/>
          <w:left w:val="single" w:sz="8" w:space="0" w:color="316379" w:themeColor="accent3"/>
          <w:bottom w:val="single" w:sz="8" w:space="0" w:color="316379" w:themeColor="accent3"/>
          <w:right w:val="single" w:sz="8" w:space="0" w:color="316379" w:themeColor="accent3"/>
        </w:tcBorders>
      </w:tcPr>
    </w:tblStylePr>
    <w:tblStylePr w:type="firstCol">
      <w:rPr>
        <w:b/>
        <w:bCs/>
      </w:rPr>
    </w:tblStylePr>
    <w:tblStylePr w:type="lastCol">
      <w:rPr>
        <w:b/>
        <w:bCs/>
      </w:rPr>
    </w:tblStylePr>
    <w:tblStylePr w:type="band1Vert">
      <w:tblPr/>
      <w:tcPr>
        <w:tcBorders>
          <w:top w:val="single" w:sz="8" w:space="0" w:color="316379" w:themeColor="accent3"/>
          <w:left w:val="single" w:sz="8" w:space="0" w:color="316379" w:themeColor="accent3"/>
          <w:bottom w:val="single" w:sz="8" w:space="0" w:color="316379" w:themeColor="accent3"/>
          <w:right w:val="single" w:sz="8" w:space="0" w:color="316379" w:themeColor="accent3"/>
        </w:tcBorders>
      </w:tcPr>
    </w:tblStylePr>
    <w:tblStylePr w:type="band1Horz">
      <w:tblPr/>
      <w:tcPr>
        <w:tcBorders>
          <w:top w:val="single" w:sz="8" w:space="0" w:color="316379" w:themeColor="accent3"/>
          <w:left w:val="single" w:sz="8" w:space="0" w:color="316379" w:themeColor="accent3"/>
          <w:bottom w:val="single" w:sz="8" w:space="0" w:color="316379" w:themeColor="accent3"/>
          <w:right w:val="single" w:sz="8" w:space="0" w:color="316379" w:themeColor="accent3"/>
        </w:tcBorders>
      </w:tcPr>
    </w:tblStylePr>
  </w:style>
  <w:style w:type="table" w:styleId="LightList-Accent4">
    <w:name w:val="Light List Accent 4"/>
    <w:basedOn w:val="TableNormal"/>
    <w:uiPriority w:val="61"/>
    <w:rsid w:val="00163F94"/>
    <w:pPr>
      <w:spacing w:after="0" w:line="240" w:lineRule="auto"/>
    </w:pPr>
    <w:tblPr>
      <w:tblStyleRowBandSize w:val="1"/>
      <w:tblStyleColBandSize w:val="1"/>
      <w:tblBorders>
        <w:top w:val="single" w:sz="8" w:space="0" w:color="84A2AF" w:themeColor="accent4"/>
        <w:left w:val="single" w:sz="8" w:space="0" w:color="84A2AF" w:themeColor="accent4"/>
        <w:bottom w:val="single" w:sz="8" w:space="0" w:color="84A2AF" w:themeColor="accent4"/>
        <w:right w:val="single" w:sz="8" w:space="0" w:color="84A2AF" w:themeColor="accent4"/>
      </w:tblBorders>
    </w:tblPr>
    <w:tblStylePr w:type="firstRow">
      <w:pPr>
        <w:spacing w:before="0" w:after="0" w:line="240" w:lineRule="auto"/>
      </w:pPr>
      <w:rPr>
        <w:b/>
        <w:bCs/>
        <w:color w:val="FFFFFF" w:themeColor="background1"/>
      </w:rPr>
      <w:tblPr/>
      <w:tcPr>
        <w:shd w:val="clear" w:color="auto" w:fill="84A2AF" w:themeFill="accent4"/>
      </w:tcPr>
    </w:tblStylePr>
    <w:tblStylePr w:type="lastRow">
      <w:pPr>
        <w:spacing w:before="0" w:after="0" w:line="240" w:lineRule="auto"/>
      </w:pPr>
      <w:rPr>
        <w:b/>
        <w:bCs/>
      </w:rPr>
      <w:tblPr/>
      <w:tcPr>
        <w:tcBorders>
          <w:top w:val="double" w:sz="6" w:space="0" w:color="84A2AF" w:themeColor="accent4"/>
          <w:left w:val="single" w:sz="8" w:space="0" w:color="84A2AF" w:themeColor="accent4"/>
          <w:bottom w:val="single" w:sz="8" w:space="0" w:color="84A2AF" w:themeColor="accent4"/>
          <w:right w:val="single" w:sz="8" w:space="0" w:color="84A2AF" w:themeColor="accent4"/>
        </w:tcBorders>
      </w:tcPr>
    </w:tblStylePr>
    <w:tblStylePr w:type="firstCol">
      <w:rPr>
        <w:b/>
        <w:bCs/>
      </w:rPr>
    </w:tblStylePr>
    <w:tblStylePr w:type="lastCol">
      <w:rPr>
        <w:b/>
        <w:bCs/>
      </w:rPr>
    </w:tblStylePr>
    <w:tblStylePr w:type="band1Vert">
      <w:tblPr/>
      <w:tcPr>
        <w:tcBorders>
          <w:top w:val="single" w:sz="8" w:space="0" w:color="84A2AF" w:themeColor="accent4"/>
          <w:left w:val="single" w:sz="8" w:space="0" w:color="84A2AF" w:themeColor="accent4"/>
          <w:bottom w:val="single" w:sz="8" w:space="0" w:color="84A2AF" w:themeColor="accent4"/>
          <w:right w:val="single" w:sz="8" w:space="0" w:color="84A2AF" w:themeColor="accent4"/>
        </w:tcBorders>
      </w:tcPr>
    </w:tblStylePr>
    <w:tblStylePr w:type="band1Horz">
      <w:tblPr/>
      <w:tcPr>
        <w:tcBorders>
          <w:top w:val="single" w:sz="8" w:space="0" w:color="84A2AF" w:themeColor="accent4"/>
          <w:left w:val="single" w:sz="8" w:space="0" w:color="84A2AF" w:themeColor="accent4"/>
          <w:bottom w:val="single" w:sz="8" w:space="0" w:color="84A2AF" w:themeColor="accent4"/>
          <w:right w:val="single" w:sz="8" w:space="0" w:color="84A2AF" w:themeColor="accent4"/>
        </w:tcBorders>
      </w:tcPr>
    </w:tblStylePr>
  </w:style>
  <w:style w:type="table" w:styleId="LightList-Accent5">
    <w:name w:val="Light List Accent 5"/>
    <w:basedOn w:val="TableNormal"/>
    <w:uiPriority w:val="61"/>
    <w:rsid w:val="00163F94"/>
    <w:pPr>
      <w:spacing w:after="0" w:line="240" w:lineRule="auto"/>
    </w:pPr>
    <w:tblPr>
      <w:tblStyleRowBandSize w:val="1"/>
      <w:tblStyleColBandSize w:val="1"/>
      <w:tblBorders>
        <w:top w:val="single" w:sz="8" w:space="0" w:color="ADC1C9" w:themeColor="accent5"/>
        <w:left w:val="single" w:sz="8" w:space="0" w:color="ADC1C9" w:themeColor="accent5"/>
        <w:bottom w:val="single" w:sz="8" w:space="0" w:color="ADC1C9" w:themeColor="accent5"/>
        <w:right w:val="single" w:sz="8" w:space="0" w:color="ADC1C9" w:themeColor="accent5"/>
      </w:tblBorders>
    </w:tblPr>
    <w:tblStylePr w:type="firstRow">
      <w:pPr>
        <w:spacing w:before="0" w:after="0" w:line="240" w:lineRule="auto"/>
      </w:pPr>
      <w:rPr>
        <w:b/>
        <w:bCs/>
        <w:color w:val="FFFFFF" w:themeColor="background1"/>
      </w:rPr>
      <w:tblPr/>
      <w:tcPr>
        <w:shd w:val="clear" w:color="auto" w:fill="ADC1C9" w:themeFill="accent5"/>
      </w:tcPr>
    </w:tblStylePr>
    <w:tblStylePr w:type="lastRow">
      <w:pPr>
        <w:spacing w:before="0" w:after="0" w:line="240" w:lineRule="auto"/>
      </w:pPr>
      <w:rPr>
        <w:b/>
        <w:bCs/>
      </w:rPr>
      <w:tblPr/>
      <w:tcPr>
        <w:tcBorders>
          <w:top w:val="double" w:sz="6" w:space="0" w:color="ADC1C9" w:themeColor="accent5"/>
          <w:left w:val="single" w:sz="8" w:space="0" w:color="ADC1C9" w:themeColor="accent5"/>
          <w:bottom w:val="single" w:sz="8" w:space="0" w:color="ADC1C9" w:themeColor="accent5"/>
          <w:right w:val="single" w:sz="8" w:space="0" w:color="ADC1C9" w:themeColor="accent5"/>
        </w:tcBorders>
      </w:tcPr>
    </w:tblStylePr>
    <w:tblStylePr w:type="firstCol">
      <w:rPr>
        <w:b/>
        <w:bCs/>
      </w:rPr>
    </w:tblStylePr>
    <w:tblStylePr w:type="lastCol">
      <w:rPr>
        <w:b/>
        <w:bCs/>
      </w:rPr>
    </w:tblStylePr>
    <w:tblStylePr w:type="band1Vert">
      <w:tblPr/>
      <w:tcPr>
        <w:tcBorders>
          <w:top w:val="single" w:sz="8" w:space="0" w:color="ADC1C9" w:themeColor="accent5"/>
          <w:left w:val="single" w:sz="8" w:space="0" w:color="ADC1C9" w:themeColor="accent5"/>
          <w:bottom w:val="single" w:sz="8" w:space="0" w:color="ADC1C9" w:themeColor="accent5"/>
          <w:right w:val="single" w:sz="8" w:space="0" w:color="ADC1C9" w:themeColor="accent5"/>
        </w:tcBorders>
      </w:tcPr>
    </w:tblStylePr>
    <w:tblStylePr w:type="band1Horz">
      <w:tblPr/>
      <w:tcPr>
        <w:tcBorders>
          <w:top w:val="single" w:sz="8" w:space="0" w:color="ADC1C9" w:themeColor="accent5"/>
          <w:left w:val="single" w:sz="8" w:space="0" w:color="ADC1C9" w:themeColor="accent5"/>
          <w:bottom w:val="single" w:sz="8" w:space="0" w:color="ADC1C9" w:themeColor="accent5"/>
          <w:right w:val="single" w:sz="8" w:space="0" w:color="ADC1C9" w:themeColor="accent5"/>
        </w:tcBorders>
      </w:tcPr>
    </w:tblStylePr>
  </w:style>
  <w:style w:type="table" w:styleId="LightList-Accent6">
    <w:name w:val="Light List Accent 6"/>
    <w:basedOn w:val="TableNormal"/>
    <w:uiPriority w:val="61"/>
    <w:rsid w:val="00163F94"/>
    <w:pPr>
      <w:spacing w:after="0" w:line="240" w:lineRule="auto"/>
    </w:pPr>
    <w:tblPr>
      <w:tblStyleRowBandSize w:val="1"/>
      <w:tblStyleColBandSize w:val="1"/>
      <w:tblBorders>
        <w:top w:val="single" w:sz="8" w:space="0" w:color="FF5000" w:themeColor="accent6"/>
        <w:left w:val="single" w:sz="8" w:space="0" w:color="FF5000" w:themeColor="accent6"/>
        <w:bottom w:val="single" w:sz="8" w:space="0" w:color="FF5000" w:themeColor="accent6"/>
        <w:right w:val="single" w:sz="8" w:space="0" w:color="FF5000" w:themeColor="accent6"/>
      </w:tblBorders>
    </w:tblPr>
    <w:tblStylePr w:type="firstRow">
      <w:pPr>
        <w:spacing w:before="0" w:after="0" w:line="240" w:lineRule="auto"/>
      </w:pPr>
      <w:rPr>
        <w:b/>
        <w:bCs/>
        <w:color w:val="FFFFFF" w:themeColor="background1"/>
      </w:rPr>
      <w:tblPr/>
      <w:tcPr>
        <w:shd w:val="clear" w:color="auto" w:fill="FF5000" w:themeFill="accent6"/>
      </w:tcPr>
    </w:tblStylePr>
    <w:tblStylePr w:type="lastRow">
      <w:pPr>
        <w:spacing w:before="0" w:after="0" w:line="240" w:lineRule="auto"/>
      </w:pPr>
      <w:rPr>
        <w:b/>
        <w:bCs/>
      </w:rPr>
      <w:tblPr/>
      <w:tcPr>
        <w:tcBorders>
          <w:top w:val="double" w:sz="6" w:space="0" w:color="FF5000" w:themeColor="accent6"/>
          <w:left w:val="single" w:sz="8" w:space="0" w:color="FF5000" w:themeColor="accent6"/>
          <w:bottom w:val="single" w:sz="8" w:space="0" w:color="FF5000" w:themeColor="accent6"/>
          <w:right w:val="single" w:sz="8" w:space="0" w:color="FF5000" w:themeColor="accent6"/>
        </w:tcBorders>
      </w:tcPr>
    </w:tblStylePr>
    <w:tblStylePr w:type="firstCol">
      <w:rPr>
        <w:b/>
        <w:bCs/>
      </w:rPr>
    </w:tblStylePr>
    <w:tblStylePr w:type="lastCol">
      <w:rPr>
        <w:b/>
        <w:bCs/>
      </w:rPr>
    </w:tblStylePr>
    <w:tblStylePr w:type="band1Vert">
      <w:tblPr/>
      <w:tcPr>
        <w:tcBorders>
          <w:top w:val="single" w:sz="8" w:space="0" w:color="FF5000" w:themeColor="accent6"/>
          <w:left w:val="single" w:sz="8" w:space="0" w:color="FF5000" w:themeColor="accent6"/>
          <w:bottom w:val="single" w:sz="8" w:space="0" w:color="FF5000" w:themeColor="accent6"/>
          <w:right w:val="single" w:sz="8" w:space="0" w:color="FF5000" w:themeColor="accent6"/>
        </w:tcBorders>
      </w:tcPr>
    </w:tblStylePr>
    <w:tblStylePr w:type="band1Horz">
      <w:tblPr/>
      <w:tcPr>
        <w:tcBorders>
          <w:top w:val="single" w:sz="8" w:space="0" w:color="FF5000" w:themeColor="accent6"/>
          <w:left w:val="single" w:sz="8" w:space="0" w:color="FF5000" w:themeColor="accent6"/>
          <w:bottom w:val="single" w:sz="8" w:space="0" w:color="FF5000" w:themeColor="accent6"/>
          <w:right w:val="single" w:sz="8" w:space="0" w:color="FF5000" w:themeColor="accent6"/>
        </w:tcBorders>
      </w:tcPr>
    </w:tblStylePr>
  </w:style>
  <w:style w:type="table" w:styleId="LightShading">
    <w:name w:val="Light Shading"/>
    <w:basedOn w:val="TableNormal"/>
    <w:uiPriority w:val="60"/>
    <w:rsid w:val="00163F94"/>
    <w:pPr>
      <w:spacing w:after="0" w:line="240" w:lineRule="auto"/>
    </w:pPr>
    <w:rPr>
      <w:rFonts w:ascii="Times New Roman" w:eastAsia="Times New Roman" w:hAnsi="Times New Roman"/>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63F94"/>
    <w:pPr>
      <w:spacing w:after="0" w:line="240" w:lineRule="auto"/>
    </w:pPr>
    <w:rPr>
      <w:color w:val="03212E" w:themeColor="accent1" w:themeShade="BF"/>
    </w:rPr>
    <w:tblPr>
      <w:tblStyleRowBandSize w:val="1"/>
      <w:tblStyleColBandSize w:val="1"/>
      <w:tblBorders>
        <w:top w:val="single" w:sz="8" w:space="0" w:color="052D3F" w:themeColor="accent1"/>
        <w:bottom w:val="single" w:sz="8" w:space="0" w:color="052D3F" w:themeColor="accent1"/>
      </w:tblBorders>
    </w:tblPr>
    <w:tblStylePr w:type="firstRow">
      <w:pPr>
        <w:spacing w:before="0" w:after="0" w:line="240" w:lineRule="auto"/>
      </w:pPr>
      <w:rPr>
        <w:b/>
        <w:bCs/>
      </w:rPr>
      <w:tblPr/>
      <w:tcPr>
        <w:tcBorders>
          <w:top w:val="single" w:sz="8" w:space="0" w:color="052D3F" w:themeColor="accent1"/>
          <w:left w:val="nil"/>
          <w:bottom w:val="single" w:sz="8" w:space="0" w:color="052D3F" w:themeColor="accent1"/>
          <w:right w:val="nil"/>
          <w:insideH w:val="nil"/>
          <w:insideV w:val="nil"/>
        </w:tcBorders>
      </w:tcPr>
    </w:tblStylePr>
    <w:tblStylePr w:type="lastRow">
      <w:pPr>
        <w:spacing w:before="0" w:after="0" w:line="240" w:lineRule="auto"/>
      </w:pPr>
      <w:rPr>
        <w:b/>
        <w:bCs/>
      </w:rPr>
      <w:tblPr/>
      <w:tcPr>
        <w:tcBorders>
          <w:top w:val="single" w:sz="8" w:space="0" w:color="052D3F" w:themeColor="accent1"/>
          <w:left w:val="nil"/>
          <w:bottom w:val="single" w:sz="8" w:space="0" w:color="052D3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D9F7" w:themeFill="accent1" w:themeFillTint="3F"/>
      </w:tcPr>
    </w:tblStylePr>
    <w:tblStylePr w:type="band1Horz">
      <w:tblPr/>
      <w:tcPr>
        <w:tcBorders>
          <w:left w:val="nil"/>
          <w:right w:val="nil"/>
          <w:insideH w:val="nil"/>
          <w:insideV w:val="nil"/>
        </w:tcBorders>
        <w:shd w:val="clear" w:color="auto" w:fill="99D9F7" w:themeFill="accent1" w:themeFillTint="3F"/>
      </w:tcPr>
    </w:tblStylePr>
  </w:style>
  <w:style w:type="table" w:styleId="LightShading-Accent2">
    <w:name w:val="Light Shading Accent 2"/>
    <w:basedOn w:val="TableNormal"/>
    <w:uiPriority w:val="60"/>
    <w:rsid w:val="00163F94"/>
    <w:pPr>
      <w:spacing w:after="0" w:line="240" w:lineRule="auto"/>
    </w:pPr>
    <w:rPr>
      <w:color w:val="063246" w:themeColor="accent2" w:themeShade="BF"/>
    </w:rPr>
    <w:tblPr>
      <w:tblStyleRowBandSize w:val="1"/>
      <w:tblStyleColBandSize w:val="1"/>
      <w:tblBorders>
        <w:top w:val="single" w:sz="8" w:space="0" w:color="08445E" w:themeColor="accent2"/>
        <w:bottom w:val="single" w:sz="8" w:space="0" w:color="08445E" w:themeColor="accent2"/>
      </w:tblBorders>
    </w:tblPr>
    <w:tblStylePr w:type="firstRow">
      <w:pPr>
        <w:spacing w:before="0" w:after="0" w:line="240" w:lineRule="auto"/>
      </w:pPr>
      <w:rPr>
        <w:b/>
        <w:bCs/>
      </w:rPr>
      <w:tblPr/>
      <w:tcPr>
        <w:tcBorders>
          <w:top w:val="single" w:sz="8" w:space="0" w:color="08445E" w:themeColor="accent2"/>
          <w:left w:val="nil"/>
          <w:bottom w:val="single" w:sz="8" w:space="0" w:color="08445E" w:themeColor="accent2"/>
          <w:right w:val="nil"/>
          <w:insideH w:val="nil"/>
          <w:insideV w:val="nil"/>
        </w:tcBorders>
      </w:tcPr>
    </w:tblStylePr>
    <w:tblStylePr w:type="lastRow">
      <w:pPr>
        <w:spacing w:before="0" w:after="0" w:line="240" w:lineRule="auto"/>
      </w:pPr>
      <w:rPr>
        <w:b/>
        <w:bCs/>
      </w:rPr>
      <w:tblPr/>
      <w:tcPr>
        <w:tcBorders>
          <w:top w:val="single" w:sz="8" w:space="0" w:color="08445E" w:themeColor="accent2"/>
          <w:left w:val="nil"/>
          <w:bottom w:val="single" w:sz="8" w:space="0" w:color="08445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DDF7" w:themeFill="accent2" w:themeFillTint="3F"/>
      </w:tcPr>
    </w:tblStylePr>
    <w:tblStylePr w:type="band1Horz">
      <w:tblPr/>
      <w:tcPr>
        <w:tcBorders>
          <w:left w:val="nil"/>
          <w:right w:val="nil"/>
          <w:insideH w:val="nil"/>
          <w:insideV w:val="nil"/>
        </w:tcBorders>
        <w:shd w:val="clear" w:color="auto" w:fill="A1DDF7" w:themeFill="accent2" w:themeFillTint="3F"/>
      </w:tcPr>
    </w:tblStylePr>
  </w:style>
  <w:style w:type="table" w:styleId="LightShading-Accent3">
    <w:name w:val="Light Shading Accent 3"/>
    <w:basedOn w:val="TableNormal"/>
    <w:uiPriority w:val="60"/>
    <w:rsid w:val="00163F94"/>
    <w:pPr>
      <w:spacing w:after="0" w:line="240" w:lineRule="auto"/>
    </w:pPr>
    <w:rPr>
      <w:color w:val="244A5A" w:themeColor="accent3" w:themeShade="BF"/>
    </w:rPr>
    <w:tblPr>
      <w:tblStyleRowBandSize w:val="1"/>
      <w:tblStyleColBandSize w:val="1"/>
      <w:tblBorders>
        <w:top w:val="single" w:sz="8" w:space="0" w:color="316379" w:themeColor="accent3"/>
        <w:bottom w:val="single" w:sz="8" w:space="0" w:color="316379" w:themeColor="accent3"/>
      </w:tblBorders>
    </w:tblPr>
    <w:tblStylePr w:type="firstRow">
      <w:pPr>
        <w:spacing w:before="0" w:after="0" w:line="240" w:lineRule="auto"/>
      </w:pPr>
      <w:rPr>
        <w:b/>
        <w:bCs/>
      </w:rPr>
      <w:tblPr/>
      <w:tcPr>
        <w:tcBorders>
          <w:top w:val="single" w:sz="8" w:space="0" w:color="316379" w:themeColor="accent3"/>
          <w:left w:val="nil"/>
          <w:bottom w:val="single" w:sz="8" w:space="0" w:color="316379" w:themeColor="accent3"/>
          <w:right w:val="nil"/>
          <w:insideH w:val="nil"/>
          <w:insideV w:val="nil"/>
        </w:tcBorders>
      </w:tcPr>
    </w:tblStylePr>
    <w:tblStylePr w:type="lastRow">
      <w:pPr>
        <w:spacing w:before="0" w:after="0" w:line="240" w:lineRule="auto"/>
      </w:pPr>
      <w:rPr>
        <w:b/>
        <w:bCs/>
      </w:rPr>
      <w:tblPr/>
      <w:tcPr>
        <w:tcBorders>
          <w:top w:val="single" w:sz="8" w:space="0" w:color="316379" w:themeColor="accent3"/>
          <w:left w:val="nil"/>
          <w:bottom w:val="single" w:sz="8" w:space="0" w:color="31637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DBE6" w:themeFill="accent3" w:themeFillTint="3F"/>
      </w:tcPr>
    </w:tblStylePr>
    <w:tblStylePr w:type="band1Horz">
      <w:tblPr/>
      <w:tcPr>
        <w:tcBorders>
          <w:left w:val="nil"/>
          <w:right w:val="nil"/>
          <w:insideH w:val="nil"/>
          <w:insideV w:val="nil"/>
        </w:tcBorders>
        <w:shd w:val="clear" w:color="auto" w:fill="C3DBE6" w:themeFill="accent3" w:themeFillTint="3F"/>
      </w:tcPr>
    </w:tblStylePr>
  </w:style>
  <w:style w:type="table" w:styleId="LightShading-Accent4">
    <w:name w:val="Light Shading Accent 4"/>
    <w:basedOn w:val="TableNormal"/>
    <w:uiPriority w:val="60"/>
    <w:rsid w:val="00163F94"/>
    <w:pPr>
      <w:spacing w:after="0" w:line="240" w:lineRule="auto"/>
    </w:pPr>
    <w:rPr>
      <w:color w:val="5A7C8B" w:themeColor="accent4" w:themeShade="BF"/>
    </w:rPr>
    <w:tblPr>
      <w:tblStyleRowBandSize w:val="1"/>
      <w:tblStyleColBandSize w:val="1"/>
      <w:tblBorders>
        <w:top w:val="single" w:sz="8" w:space="0" w:color="84A2AF" w:themeColor="accent4"/>
        <w:bottom w:val="single" w:sz="8" w:space="0" w:color="84A2AF" w:themeColor="accent4"/>
      </w:tblBorders>
    </w:tblPr>
    <w:tblStylePr w:type="firstRow">
      <w:pPr>
        <w:spacing w:before="0" w:after="0" w:line="240" w:lineRule="auto"/>
      </w:pPr>
      <w:rPr>
        <w:b/>
        <w:bCs/>
      </w:rPr>
      <w:tblPr/>
      <w:tcPr>
        <w:tcBorders>
          <w:top w:val="single" w:sz="8" w:space="0" w:color="84A2AF" w:themeColor="accent4"/>
          <w:left w:val="nil"/>
          <w:bottom w:val="single" w:sz="8" w:space="0" w:color="84A2AF" w:themeColor="accent4"/>
          <w:right w:val="nil"/>
          <w:insideH w:val="nil"/>
          <w:insideV w:val="nil"/>
        </w:tcBorders>
      </w:tcPr>
    </w:tblStylePr>
    <w:tblStylePr w:type="lastRow">
      <w:pPr>
        <w:spacing w:before="0" w:after="0" w:line="240" w:lineRule="auto"/>
      </w:pPr>
      <w:rPr>
        <w:b/>
        <w:bCs/>
      </w:rPr>
      <w:tblPr/>
      <w:tcPr>
        <w:tcBorders>
          <w:top w:val="single" w:sz="8" w:space="0" w:color="84A2AF" w:themeColor="accent4"/>
          <w:left w:val="nil"/>
          <w:bottom w:val="single" w:sz="8" w:space="0" w:color="84A2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7EB" w:themeFill="accent4" w:themeFillTint="3F"/>
      </w:tcPr>
    </w:tblStylePr>
    <w:tblStylePr w:type="band1Horz">
      <w:tblPr/>
      <w:tcPr>
        <w:tcBorders>
          <w:left w:val="nil"/>
          <w:right w:val="nil"/>
          <w:insideH w:val="nil"/>
          <w:insideV w:val="nil"/>
        </w:tcBorders>
        <w:shd w:val="clear" w:color="auto" w:fill="E0E7EB" w:themeFill="accent4" w:themeFillTint="3F"/>
      </w:tcPr>
    </w:tblStylePr>
  </w:style>
  <w:style w:type="table" w:styleId="LightShading-Accent5">
    <w:name w:val="Light Shading Accent 5"/>
    <w:basedOn w:val="TableNormal"/>
    <w:uiPriority w:val="60"/>
    <w:rsid w:val="00163F94"/>
    <w:pPr>
      <w:spacing w:after="0" w:line="240" w:lineRule="auto"/>
    </w:pPr>
    <w:rPr>
      <w:color w:val="7496A3" w:themeColor="accent5" w:themeShade="BF"/>
    </w:rPr>
    <w:tblPr>
      <w:tblStyleRowBandSize w:val="1"/>
      <w:tblStyleColBandSize w:val="1"/>
      <w:tblBorders>
        <w:top w:val="single" w:sz="8" w:space="0" w:color="ADC1C9" w:themeColor="accent5"/>
        <w:bottom w:val="single" w:sz="8" w:space="0" w:color="ADC1C9" w:themeColor="accent5"/>
      </w:tblBorders>
    </w:tblPr>
    <w:tblStylePr w:type="firstRow">
      <w:pPr>
        <w:spacing w:before="0" w:after="0" w:line="240" w:lineRule="auto"/>
      </w:pPr>
      <w:rPr>
        <w:b/>
        <w:bCs/>
      </w:rPr>
      <w:tblPr/>
      <w:tcPr>
        <w:tcBorders>
          <w:top w:val="single" w:sz="8" w:space="0" w:color="ADC1C9" w:themeColor="accent5"/>
          <w:left w:val="nil"/>
          <w:bottom w:val="single" w:sz="8" w:space="0" w:color="ADC1C9" w:themeColor="accent5"/>
          <w:right w:val="nil"/>
          <w:insideH w:val="nil"/>
          <w:insideV w:val="nil"/>
        </w:tcBorders>
      </w:tcPr>
    </w:tblStylePr>
    <w:tblStylePr w:type="lastRow">
      <w:pPr>
        <w:spacing w:before="0" w:after="0" w:line="240" w:lineRule="auto"/>
      </w:pPr>
      <w:rPr>
        <w:b/>
        <w:bCs/>
      </w:rPr>
      <w:tblPr/>
      <w:tcPr>
        <w:tcBorders>
          <w:top w:val="single" w:sz="8" w:space="0" w:color="ADC1C9" w:themeColor="accent5"/>
          <w:left w:val="nil"/>
          <w:bottom w:val="single" w:sz="8" w:space="0" w:color="ADC1C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FF1" w:themeFill="accent5" w:themeFillTint="3F"/>
      </w:tcPr>
    </w:tblStylePr>
    <w:tblStylePr w:type="band1Horz">
      <w:tblPr/>
      <w:tcPr>
        <w:tcBorders>
          <w:left w:val="nil"/>
          <w:right w:val="nil"/>
          <w:insideH w:val="nil"/>
          <w:insideV w:val="nil"/>
        </w:tcBorders>
        <w:shd w:val="clear" w:color="auto" w:fill="EAEFF1" w:themeFill="accent5" w:themeFillTint="3F"/>
      </w:tcPr>
    </w:tblStylePr>
  </w:style>
  <w:style w:type="table" w:styleId="LightShading-Accent6">
    <w:name w:val="Light Shading Accent 6"/>
    <w:basedOn w:val="TableNormal"/>
    <w:uiPriority w:val="60"/>
    <w:rsid w:val="00163F94"/>
    <w:pPr>
      <w:spacing w:after="0" w:line="240" w:lineRule="auto"/>
    </w:pPr>
    <w:rPr>
      <w:color w:val="BF3B00" w:themeColor="accent6" w:themeShade="BF"/>
    </w:rPr>
    <w:tblPr>
      <w:tblStyleRowBandSize w:val="1"/>
      <w:tblStyleColBandSize w:val="1"/>
      <w:tblBorders>
        <w:top w:val="single" w:sz="8" w:space="0" w:color="FF5000" w:themeColor="accent6"/>
        <w:bottom w:val="single" w:sz="8" w:space="0" w:color="FF5000" w:themeColor="accent6"/>
      </w:tblBorders>
    </w:tblPr>
    <w:tblStylePr w:type="firstRow">
      <w:pPr>
        <w:spacing w:before="0" w:after="0" w:line="240" w:lineRule="auto"/>
      </w:pPr>
      <w:rPr>
        <w:b/>
        <w:bCs/>
      </w:rPr>
      <w:tblPr/>
      <w:tcPr>
        <w:tcBorders>
          <w:top w:val="single" w:sz="8" w:space="0" w:color="FF5000" w:themeColor="accent6"/>
          <w:left w:val="nil"/>
          <w:bottom w:val="single" w:sz="8" w:space="0" w:color="FF5000" w:themeColor="accent6"/>
          <w:right w:val="nil"/>
          <w:insideH w:val="nil"/>
          <w:insideV w:val="nil"/>
        </w:tcBorders>
      </w:tcPr>
    </w:tblStylePr>
    <w:tblStylePr w:type="lastRow">
      <w:pPr>
        <w:spacing w:before="0" w:after="0" w:line="240" w:lineRule="auto"/>
      </w:pPr>
      <w:rPr>
        <w:b/>
        <w:bCs/>
      </w:rPr>
      <w:tblPr/>
      <w:tcPr>
        <w:tcBorders>
          <w:top w:val="single" w:sz="8" w:space="0" w:color="FF5000" w:themeColor="accent6"/>
          <w:left w:val="nil"/>
          <w:bottom w:val="single" w:sz="8" w:space="0" w:color="FF5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3C0" w:themeFill="accent6" w:themeFillTint="3F"/>
      </w:tcPr>
    </w:tblStylePr>
    <w:tblStylePr w:type="band1Horz">
      <w:tblPr/>
      <w:tcPr>
        <w:tcBorders>
          <w:left w:val="nil"/>
          <w:right w:val="nil"/>
          <w:insideH w:val="nil"/>
          <w:insideV w:val="nil"/>
        </w:tcBorders>
        <w:shd w:val="clear" w:color="auto" w:fill="FFD3C0" w:themeFill="accent6" w:themeFillTint="3F"/>
      </w:tcPr>
    </w:tblStylePr>
  </w:style>
  <w:style w:type="character" w:styleId="LineNumber">
    <w:name w:val="line number"/>
    <w:basedOn w:val="DefaultParagraphFont"/>
    <w:uiPriority w:val="99"/>
    <w:semiHidden/>
    <w:unhideWhenUsed/>
    <w:rsid w:val="00163F94"/>
  </w:style>
  <w:style w:type="paragraph" w:styleId="List">
    <w:name w:val="List"/>
    <w:basedOn w:val="Normal"/>
    <w:uiPriority w:val="99"/>
    <w:semiHidden/>
    <w:unhideWhenUsed/>
    <w:rsid w:val="00163F94"/>
    <w:pPr>
      <w:ind w:left="283" w:hanging="283"/>
      <w:contextualSpacing/>
    </w:pPr>
  </w:style>
  <w:style w:type="paragraph" w:styleId="List2">
    <w:name w:val="List 2"/>
    <w:basedOn w:val="Normal"/>
    <w:uiPriority w:val="99"/>
    <w:semiHidden/>
    <w:unhideWhenUsed/>
    <w:rsid w:val="00163F94"/>
    <w:pPr>
      <w:ind w:left="566" w:hanging="283"/>
      <w:contextualSpacing/>
    </w:pPr>
  </w:style>
  <w:style w:type="paragraph" w:styleId="List3">
    <w:name w:val="List 3"/>
    <w:basedOn w:val="Normal"/>
    <w:uiPriority w:val="99"/>
    <w:semiHidden/>
    <w:unhideWhenUsed/>
    <w:rsid w:val="00163F94"/>
    <w:pPr>
      <w:ind w:left="849" w:hanging="283"/>
      <w:contextualSpacing/>
    </w:pPr>
  </w:style>
  <w:style w:type="paragraph" w:styleId="List4">
    <w:name w:val="List 4"/>
    <w:basedOn w:val="Normal"/>
    <w:uiPriority w:val="99"/>
    <w:semiHidden/>
    <w:unhideWhenUsed/>
    <w:rsid w:val="00163F94"/>
    <w:pPr>
      <w:ind w:left="1132" w:hanging="283"/>
      <w:contextualSpacing/>
    </w:pPr>
  </w:style>
  <w:style w:type="paragraph" w:styleId="List5">
    <w:name w:val="List 5"/>
    <w:basedOn w:val="Normal"/>
    <w:uiPriority w:val="99"/>
    <w:semiHidden/>
    <w:unhideWhenUsed/>
    <w:rsid w:val="00163F94"/>
    <w:pPr>
      <w:ind w:left="1415" w:hanging="283"/>
      <w:contextualSpacing/>
    </w:pPr>
  </w:style>
  <w:style w:type="paragraph" w:styleId="ListBullet">
    <w:name w:val="List Bullet"/>
    <w:basedOn w:val="Normal"/>
    <w:uiPriority w:val="99"/>
    <w:semiHidden/>
    <w:unhideWhenUsed/>
    <w:rsid w:val="00163F94"/>
    <w:pPr>
      <w:numPr>
        <w:numId w:val="2"/>
      </w:numPr>
      <w:contextualSpacing/>
    </w:pPr>
  </w:style>
  <w:style w:type="paragraph" w:styleId="ListBullet2">
    <w:name w:val="List Bullet 2"/>
    <w:basedOn w:val="Normal"/>
    <w:uiPriority w:val="99"/>
    <w:semiHidden/>
    <w:unhideWhenUsed/>
    <w:rsid w:val="00163F94"/>
    <w:pPr>
      <w:numPr>
        <w:numId w:val="3"/>
      </w:numPr>
      <w:contextualSpacing/>
    </w:pPr>
  </w:style>
  <w:style w:type="paragraph" w:styleId="ListBullet3">
    <w:name w:val="List Bullet 3"/>
    <w:basedOn w:val="Normal"/>
    <w:uiPriority w:val="99"/>
    <w:semiHidden/>
    <w:unhideWhenUsed/>
    <w:rsid w:val="00163F94"/>
    <w:pPr>
      <w:numPr>
        <w:numId w:val="4"/>
      </w:numPr>
      <w:contextualSpacing/>
    </w:pPr>
  </w:style>
  <w:style w:type="paragraph" w:styleId="ListBullet4">
    <w:name w:val="List Bullet 4"/>
    <w:basedOn w:val="Normal"/>
    <w:uiPriority w:val="99"/>
    <w:semiHidden/>
    <w:unhideWhenUsed/>
    <w:rsid w:val="00163F94"/>
    <w:pPr>
      <w:numPr>
        <w:numId w:val="5"/>
      </w:numPr>
      <w:contextualSpacing/>
    </w:pPr>
  </w:style>
  <w:style w:type="paragraph" w:styleId="ListBullet5">
    <w:name w:val="List Bullet 5"/>
    <w:basedOn w:val="Normal"/>
    <w:uiPriority w:val="99"/>
    <w:semiHidden/>
    <w:unhideWhenUsed/>
    <w:rsid w:val="00163F94"/>
    <w:pPr>
      <w:numPr>
        <w:numId w:val="6"/>
      </w:numPr>
      <w:contextualSpacing/>
    </w:pPr>
  </w:style>
  <w:style w:type="paragraph" w:styleId="ListContinue">
    <w:name w:val="List Continue"/>
    <w:basedOn w:val="Normal"/>
    <w:uiPriority w:val="99"/>
    <w:semiHidden/>
    <w:unhideWhenUsed/>
    <w:rsid w:val="00163F94"/>
    <w:pPr>
      <w:spacing w:after="120"/>
      <w:ind w:left="283"/>
      <w:contextualSpacing/>
    </w:pPr>
  </w:style>
  <w:style w:type="paragraph" w:styleId="ListContinue2">
    <w:name w:val="List Continue 2"/>
    <w:basedOn w:val="Normal"/>
    <w:uiPriority w:val="99"/>
    <w:semiHidden/>
    <w:unhideWhenUsed/>
    <w:rsid w:val="00163F94"/>
    <w:pPr>
      <w:spacing w:after="120"/>
      <w:ind w:left="566"/>
      <w:contextualSpacing/>
    </w:pPr>
  </w:style>
  <w:style w:type="paragraph" w:styleId="ListContinue3">
    <w:name w:val="List Continue 3"/>
    <w:basedOn w:val="Normal"/>
    <w:uiPriority w:val="99"/>
    <w:semiHidden/>
    <w:unhideWhenUsed/>
    <w:rsid w:val="00163F94"/>
    <w:pPr>
      <w:spacing w:after="120"/>
      <w:ind w:left="849"/>
      <w:contextualSpacing/>
    </w:pPr>
  </w:style>
  <w:style w:type="paragraph" w:styleId="ListContinue4">
    <w:name w:val="List Continue 4"/>
    <w:basedOn w:val="Normal"/>
    <w:uiPriority w:val="99"/>
    <w:semiHidden/>
    <w:unhideWhenUsed/>
    <w:rsid w:val="00163F94"/>
    <w:pPr>
      <w:spacing w:after="120"/>
      <w:ind w:left="1132"/>
      <w:contextualSpacing/>
    </w:pPr>
  </w:style>
  <w:style w:type="paragraph" w:styleId="ListContinue5">
    <w:name w:val="List Continue 5"/>
    <w:basedOn w:val="Normal"/>
    <w:uiPriority w:val="99"/>
    <w:semiHidden/>
    <w:unhideWhenUsed/>
    <w:rsid w:val="00163F94"/>
    <w:pPr>
      <w:spacing w:after="120"/>
      <w:ind w:left="1415"/>
      <w:contextualSpacing/>
    </w:pPr>
  </w:style>
  <w:style w:type="paragraph" w:styleId="ListNumber">
    <w:name w:val="List Number"/>
    <w:basedOn w:val="Normal"/>
    <w:uiPriority w:val="99"/>
    <w:semiHidden/>
    <w:unhideWhenUsed/>
    <w:rsid w:val="00163F94"/>
    <w:pPr>
      <w:numPr>
        <w:numId w:val="7"/>
      </w:numPr>
      <w:contextualSpacing/>
    </w:pPr>
  </w:style>
  <w:style w:type="paragraph" w:styleId="ListNumber2">
    <w:name w:val="List Number 2"/>
    <w:basedOn w:val="Normal"/>
    <w:uiPriority w:val="99"/>
    <w:semiHidden/>
    <w:unhideWhenUsed/>
    <w:rsid w:val="00163F94"/>
    <w:pPr>
      <w:numPr>
        <w:numId w:val="8"/>
      </w:numPr>
      <w:contextualSpacing/>
    </w:pPr>
  </w:style>
  <w:style w:type="paragraph" w:styleId="ListNumber3">
    <w:name w:val="List Number 3"/>
    <w:basedOn w:val="Normal"/>
    <w:uiPriority w:val="99"/>
    <w:semiHidden/>
    <w:unhideWhenUsed/>
    <w:rsid w:val="00163F94"/>
    <w:pPr>
      <w:numPr>
        <w:numId w:val="9"/>
      </w:numPr>
      <w:contextualSpacing/>
    </w:pPr>
  </w:style>
  <w:style w:type="paragraph" w:styleId="ListNumber4">
    <w:name w:val="List Number 4"/>
    <w:basedOn w:val="Normal"/>
    <w:uiPriority w:val="99"/>
    <w:semiHidden/>
    <w:unhideWhenUsed/>
    <w:rsid w:val="00163F94"/>
    <w:pPr>
      <w:numPr>
        <w:numId w:val="10"/>
      </w:numPr>
      <w:contextualSpacing/>
    </w:pPr>
  </w:style>
  <w:style w:type="paragraph" w:styleId="ListNumber5">
    <w:name w:val="List Number 5"/>
    <w:basedOn w:val="Normal"/>
    <w:uiPriority w:val="99"/>
    <w:semiHidden/>
    <w:unhideWhenUsed/>
    <w:rsid w:val="00163F94"/>
    <w:pPr>
      <w:numPr>
        <w:numId w:val="11"/>
      </w:numPr>
      <w:contextualSpacing/>
    </w:pPr>
  </w:style>
  <w:style w:type="paragraph" w:styleId="MacroText">
    <w:name w:val="macro"/>
    <w:link w:val="MacroTextChar"/>
    <w:uiPriority w:val="99"/>
    <w:semiHidden/>
    <w:unhideWhenUsed/>
    <w:rsid w:val="00163F94"/>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cs="Consolas"/>
      <w:lang w:val="en-AU"/>
    </w:rPr>
  </w:style>
  <w:style w:type="character" w:customStyle="1" w:styleId="MacroTextChar">
    <w:name w:val="Macro Text Char"/>
    <w:basedOn w:val="DefaultParagraphFont"/>
    <w:link w:val="MacroText"/>
    <w:uiPriority w:val="99"/>
    <w:semiHidden/>
    <w:rsid w:val="00163F94"/>
    <w:rPr>
      <w:rFonts w:ascii="Consolas" w:hAnsi="Consolas" w:cs="Consolas"/>
      <w:lang w:val="en-AU"/>
    </w:rPr>
  </w:style>
  <w:style w:type="table" w:styleId="MediumGrid1">
    <w:name w:val="Medium Grid 1"/>
    <w:basedOn w:val="TableNormal"/>
    <w:uiPriority w:val="67"/>
    <w:rsid w:val="00163F9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63F94"/>
    <w:pPr>
      <w:spacing w:after="0" w:line="240" w:lineRule="auto"/>
    </w:pPr>
    <w:tblPr>
      <w:tblStyleRowBandSize w:val="1"/>
      <w:tblStyleColBandSize w:val="1"/>
      <w:tblBorders>
        <w:top w:val="single" w:sz="8" w:space="0" w:color="0D75A5" w:themeColor="accent1" w:themeTint="BF"/>
        <w:left w:val="single" w:sz="8" w:space="0" w:color="0D75A5" w:themeColor="accent1" w:themeTint="BF"/>
        <w:bottom w:val="single" w:sz="8" w:space="0" w:color="0D75A5" w:themeColor="accent1" w:themeTint="BF"/>
        <w:right w:val="single" w:sz="8" w:space="0" w:color="0D75A5" w:themeColor="accent1" w:themeTint="BF"/>
        <w:insideH w:val="single" w:sz="8" w:space="0" w:color="0D75A5" w:themeColor="accent1" w:themeTint="BF"/>
        <w:insideV w:val="single" w:sz="8" w:space="0" w:color="0D75A5" w:themeColor="accent1" w:themeTint="BF"/>
      </w:tblBorders>
    </w:tblPr>
    <w:tcPr>
      <w:shd w:val="clear" w:color="auto" w:fill="99D9F7" w:themeFill="accent1" w:themeFillTint="3F"/>
    </w:tcPr>
    <w:tblStylePr w:type="firstRow">
      <w:rPr>
        <w:b/>
        <w:bCs/>
      </w:rPr>
    </w:tblStylePr>
    <w:tblStylePr w:type="lastRow">
      <w:rPr>
        <w:b/>
        <w:bCs/>
      </w:rPr>
      <w:tblPr/>
      <w:tcPr>
        <w:tcBorders>
          <w:top w:val="single" w:sz="18" w:space="0" w:color="0D75A5" w:themeColor="accent1" w:themeTint="BF"/>
        </w:tcBorders>
      </w:tcPr>
    </w:tblStylePr>
    <w:tblStylePr w:type="firstCol">
      <w:rPr>
        <w:b/>
        <w:bCs/>
      </w:rPr>
    </w:tblStylePr>
    <w:tblStylePr w:type="lastCol">
      <w:rPr>
        <w:b/>
        <w:bCs/>
      </w:rPr>
    </w:tblStylePr>
    <w:tblStylePr w:type="band1Vert">
      <w:tblPr/>
      <w:tcPr>
        <w:shd w:val="clear" w:color="auto" w:fill="32B3EE" w:themeFill="accent1" w:themeFillTint="7F"/>
      </w:tcPr>
    </w:tblStylePr>
    <w:tblStylePr w:type="band1Horz">
      <w:tblPr/>
      <w:tcPr>
        <w:shd w:val="clear" w:color="auto" w:fill="32B3EE" w:themeFill="accent1" w:themeFillTint="7F"/>
      </w:tcPr>
    </w:tblStylePr>
  </w:style>
  <w:style w:type="table" w:styleId="MediumGrid1-Accent2">
    <w:name w:val="Medium Grid 1 Accent 2"/>
    <w:basedOn w:val="TableNormal"/>
    <w:uiPriority w:val="67"/>
    <w:rsid w:val="00163F94"/>
    <w:pPr>
      <w:spacing w:after="0" w:line="240" w:lineRule="auto"/>
    </w:pPr>
    <w:tblPr>
      <w:tblStyleRowBandSize w:val="1"/>
      <w:tblStyleColBandSize w:val="1"/>
      <w:tblBorders>
        <w:top w:val="single" w:sz="8" w:space="0" w:color="1087BC" w:themeColor="accent2" w:themeTint="BF"/>
        <w:left w:val="single" w:sz="8" w:space="0" w:color="1087BC" w:themeColor="accent2" w:themeTint="BF"/>
        <w:bottom w:val="single" w:sz="8" w:space="0" w:color="1087BC" w:themeColor="accent2" w:themeTint="BF"/>
        <w:right w:val="single" w:sz="8" w:space="0" w:color="1087BC" w:themeColor="accent2" w:themeTint="BF"/>
        <w:insideH w:val="single" w:sz="8" w:space="0" w:color="1087BC" w:themeColor="accent2" w:themeTint="BF"/>
        <w:insideV w:val="single" w:sz="8" w:space="0" w:color="1087BC" w:themeColor="accent2" w:themeTint="BF"/>
      </w:tblBorders>
    </w:tblPr>
    <w:tcPr>
      <w:shd w:val="clear" w:color="auto" w:fill="A1DDF7" w:themeFill="accent2" w:themeFillTint="3F"/>
    </w:tcPr>
    <w:tblStylePr w:type="firstRow">
      <w:rPr>
        <w:b/>
        <w:bCs/>
      </w:rPr>
    </w:tblStylePr>
    <w:tblStylePr w:type="lastRow">
      <w:rPr>
        <w:b/>
        <w:bCs/>
      </w:rPr>
      <w:tblPr/>
      <w:tcPr>
        <w:tcBorders>
          <w:top w:val="single" w:sz="18" w:space="0" w:color="1087BC" w:themeColor="accent2" w:themeTint="BF"/>
        </w:tcBorders>
      </w:tcPr>
    </w:tblStylePr>
    <w:tblStylePr w:type="firstCol">
      <w:rPr>
        <w:b/>
        <w:bCs/>
      </w:rPr>
    </w:tblStylePr>
    <w:tblStylePr w:type="lastCol">
      <w:rPr>
        <w:b/>
        <w:bCs/>
      </w:rPr>
    </w:tblStylePr>
    <w:tblStylePr w:type="band1Vert">
      <w:tblPr/>
      <w:tcPr>
        <w:shd w:val="clear" w:color="auto" w:fill="43BAEF" w:themeFill="accent2" w:themeFillTint="7F"/>
      </w:tcPr>
    </w:tblStylePr>
    <w:tblStylePr w:type="band1Horz">
      <w:tblPr/>
      <w:tcPr>
        <w:shd w:val="clear" w:color="auto" w:fill="43BAEF" w:themeFill="accent2" w:themeFillTint="7F"/>
      </w:tcPr>
    </w:tblStylePr>
  </w:style>
  <w:style w:type="table" w:styleId="MediumGrid1-Accent3">
    <w:name w:val="Medium Grid 1 Accent 3"/>
    <w:basedOn w:val="TableNormal"/>
    <w:uiPriority w:val="67"/>
    <w:rsid w:val="00163F94"/>
    <w:pPr>
      <w:spacing w:after="0" w:line="240" w:lineRule="auto"/>
    </w:pPr>
    <w:tblPr>
      <w:tblStyleRowBandSize w:val="1"/>
      <w:tblStyleColBandSize w:val="1"/>
      <w:tblBorders>
        <w:top w:val="single" w:sz="8" w:space="0" w:color="4994B5" w:themeColor="accent3" w:themeTint="BF"/>
        <w:left w:val="single" w:sz="8" w:space="0" w:color="4994B5" w:themeColor="accent3" w:themeTint="BF"/>
        <w:bottom w:val="single" w:sz="8" w:space="0" w:color="4994B5" w:themeColor="accent3" w:themeTint="BF"/>
        <w:right w:val="single" w:sz="8" w:space="0" w:color="4994B5" w:themeColor="accent3" w:themeTint="BF"/>
        <w:insideH w:val="single" w:sz="8" w:space="0" w:color="4994B5" w:themeColor="accent3" w:themeTint="BF"/>
        <w:insideV w:val="single" w:sz="8" w:space="0" w:color="4994B5" w:themeColor="accent3" w:themeTint="BF"/>
      </w:tblBorders>
    </w:tblPr>
    <w:tcPr>
      <w:shd w:val="clear" w:color="auto" w:fill="C3DBE6" w:themeFill="accent3" w:themeFillTint="3F"/>
    </w:tcPr>
    <w:tblStylePr w:type="firstRow">
      <w:rPr>
        <w:b/>
        <w:bCs/>
      </w:rPr>
    </w:tblStylePr>
    <w:tblStylePr w:type="lastRow">
      <w:rPr>
        <w:b/>
        <w:bCs/>
      </w:rPr>
      <w:tblPr/>
      <w:tcPr>
        <w:tcBorders>
          <w:top w:val="single" w:sz="18" w:space="0" w:color="4994B5" w:themeColor="accent3" w:themeTint="BF"/>
        </w:tcBorders>
      </w:tcPr>
    </w:tblStylePr>
    <w:tblStylePr w:type="firstCol">
      <w:rPr>
        <w:b/>
        <w:bCs/>
      </w:rPr>
    </w:tblStylePr>
    <w:tblStylePr w:type="lastCol">
      <w:rPr>
        <w:b/>
        <w:bCs/>
      </w:rPr>
    </w:tblStylePr>
    <w:tblStylePr w:type="band1Vert">
      <w:tblPr/>
      <w:tcPr>
        <w:shd w:val="clear" w:color="auto" w:fill="86B8CE" w:themeFill="accent3" w:themeFillTint="7F"/>
      </w:tcPr>
    </w:tblStylePr>
    <w:tblStylePr w:type="band1Horz">
      <w:tblPr/>
      <w:tcPr>
        <w:shd w:val="clear" w:color="auto" w:fill="86B8CE" w:themeFill="accent3" w:themeFillTint="7F"/>
      </w:tcPr>
    </w:tblStylePr>
  </w:style>
  <w:style w:type="table" w:styleId="MediumGrid1-Accent4">
    <w:name w:val="Medium Grid 1 Accent 4"/>
    <w:basedOn w:val="TableNormal"/>
    <w:uiPriority w:val="67"/>
    <w:rsid w:val="00163F94"/>
    <w:pPr>
      <w:spacing w:after="0" w:line="240" w:lineRule="auto"/>
    </w:pPr>
    <w:tblPr>
      <w:tblStyleRowBandSize w:val="1"/>
      <w:tblStyleColBandSize w:val="1"/>
      <w:tblBorders>
        <w:top w:val="single" w:sz="8" w:space="0" w:color="A2B9C3" w:themeColor="accent4" w:themeTint="BF"/>
        <w:left w:val="single" w:sz="8" w:space="0" w:color="A2B9C3" w:themeColor="accent4" w:themeTint="BF"/>
        <w:bottom w:val="single" w:sz="8" w:space="0" w:color="A2B9C3" w:themeColor="accent4" w:themeTint="BF"/>
        <w:right w:val="single" w:sz="8" w:space="0" w:color="A2B9C3" w:themeColor="accent4" w:themeTint="BF"/>
        <w:insideH w:val="single" w:sz="8" w:space="0" w:color="A2B9C3" w:themeColor="accent4" w:themeTint="BF"/>
        <w:insideV w:val="single" w:sz="8" w:space="0" w:color="A2B9C3" w:themeColor="accent4" w:themeTint="BF"/>
      </w:tblBorders>
    </w:tblPr>
    <w:tcPr>
      <w:shd w:val="clear" w:color="auto" w:fill="E0E7EB" w:themeFill="accent4" w:themeFillTint="3F"/>
    </w:tcPr>
    <w:tblStylePr w:type="firstRow">
      <w:rPr>
        <w:b/>
        <w:bCs/>
      </w:rPr>
    </w:tblStylePr>
    <w:tblStylePr w:type="lastRow">
      <w:rPr>
        <w:b/>
        <w:bCs/>
      </w:rPr>
      <w:tblPr/>
      <w:tcPr>
        <w:tcBorders>
          <w:top w:val="single" w:sz="18" w:space="0" w:color="A2B9C3" w:themeColor="accent4" w:themeTint="BF"/>
        </w:tcBorders>
      </w:tcPr>
    </w:tblStylePr>
    <w:tblStylePr w:type="firstCol">
      <w:rPr>
        <w:b/>
        <w:bCs/>
      </w:rPr>
    </w:tblStylePr>
    <w:tblStylePr w:type="lastCol">
      <w:rPr>
        <w:b/>
        <w:bCs/>
      </w:rPr>
    </w:tblStylePr>
    <w:tblStylePr w:type="band1Vert">
      <w:tblPr/>
      <w:tcPr>
        <w:shd w:val="clear" w:color="auto" w:fill="C1D0D7" w:themeFill="accent4" w:themeFillTint="7F"/>
      </w:tcPr>
    </w:tblStylePr>
    <w:tblStylePr w:type="band1Horz">
      <w:tblPr/>
      <w:tcPr>
        <w:shd w:val="clear" w:color="auto" w:fill="C1D0D7" w:themeFill="accent4" w:themeFillTint="7F"/>
      </w:tcPr>
    </w:tblStylePr>
  </w:style>
  <w:style w:type="table" w:styleId="MediumGrid1-Accent5">
    <w:name w:val="Medium Grid 1 Accent 5"/>
    <w:basedOn w:val="TableNormal"/>
    <w:uiPriority w:val="67"/>
    <w:rsid w:val="00163F94"/>
    <w:pPr>
      <w:spacing w:after="0" w:line="240" w:lineRule="auto"/>
    </w:pPr>
    <w:tblPr>
      <w:tblStyleRowBandSize w:val="1"/>
      <w:tblStyleColBandSize w:val="1"/>
      <w:tblBorders>
        <w:top w:val="single" w:sz="8" w:space="0" w:color="C1D0D6" w:themeColor="accent5" w:themeTint="BF"/>
        <w:left w:val="single" w:sz="8" w:space="0" w:color="C1D0D6" w:themeColor="accent5" w:themeTint="BF"/>
        <w:bottom w:val="single" w:sz="8" w:space="0" w:color="C1D0D6" w:themeColor="accent5" w:themeTint="BF"/>
        <w:right w:val="single" w:sz="8" w:space="0" w:color="C1D0D6" w:themeColor="accent5" w:themeTint="BF"/>
        <w:insideH w:val="single" w:sz="8" w:space="0" w:color="C1D0D6" w:themeColor="accent5" w:themeTint="BF"/>
        <w:insideV w:val="single" w:sz="8" w:space="0" w:color="C1D0D6" w:themeColor="accent5" w:themeTint="BF"/>
      </w:tblBorders>
    </w:tblPr>
    <w:tcPr>
      <w:shd w:val="clear" w:color="auto" w:fill="EAEFF1" w:themeFill="accent5" w:themeFillTint="3F"/>
    </w:tcPr>
    <w:tblStylePr w:type="firstRow">
      <w:rPr>
        <w:b/>
        <w:bCs/>
      </w:rPr>
    </w:tblStylePr>
    <w:tblStylePr w:type="lastRow">
      <w:rPr>
        <w:b/>
        <w:bCs/>
      </w:rPr>
      <w:tblPr/>
      <w:tcPr>
        <w:tcBorders>
          <w:top w:val="single" w:sz="18" w:space="0" w:color="C1D0D6" w:themeColor="accent5" w:themeTint="BF"/>
        </w:tcBorders>
      </w:tcPr>
    </w:tblStylePr>
    <w:tblStylePr w:type="firstCol">
      <w:rPr>
        <w:b/>
        <w:bCs/>
      </w:rPr>
    </w:tblStylePr>
    <w:tblStylePr w:type="lastCol">
      <w:rPr>
        <w:b/>
        <w:bCs/>
      </w:rPr>
    </w:tblStylePr>
    <w:tblStylePr w:type="band1Vert">
      <w:tblPr/>
      <w:tcPr>
        <w:shd w:val="clear" w:color="auto" w:fill="D6DFE4" w:themeFill="accent5" w:themeFillTint="7F"/>
      </w:tcPr>
    </w:tblStylePr>
    <w:tblStylePr w:type="band1Horz">
      <w:tblPr/>
      <w:tcPr>
        <w:shd w:val="clear" w:color="auto" w:fill="D6DFE4" w:themeFill="accent5" w:themeFillTint="7F"/>
      </w:tcPr>
    </w:tblStylePr>
  </w:style>
  <w:style w:type="table" w:styleId="MediumGrid1-Accent6">
    <w:name w:val="Medium Grid 1 Accent 6"/>
    <w:basedOn w:val="TableNormal"/>
    <w:uiPriority w:val="67"/>
    <w:rsid w:val="00163F94"/>
    <w:pPr>
      <w:spacing w:after="0" w:line="240" w:lineRule="auto"/>
    </w:pPr>
    <w:tblPr>
      <w:tblStyleRowBandSize w:val="1"/>
      <w:tblStyleColBandSize w:val="1"/>
      <w:tblBorders>
        <w:top w:val="single" w:sz="8" w:space="0" w:color="FF7B40" w:themeColor="accent6" w:themeTint="BF"/>
        <w:left w:val="single" w:sz="8" w:space="0" w:color="FF7B40" w:themeColor="accent6" w:themeTint="BF"/>
        <w:bottom w:val="single" w:sz="8" w:space="0" w:color="FF7B40" w:themeColor="accent6" w:themeTint="BF"/>
        <w:right w:val="single" w:sz="8" w:space="0" w:color="FF7B40" w:themeColor="accent6" w:themeTint="BF"/>
        <w:insideH w:val="single" w:sz="8" w:space="0" w:color="FF7B40" w:themeColor="accent6" w:themeTint="BF"/>
        <w:insideV w:val="single" w:sz="8" w:space="0" w:color="FF7B40" w:themeColor="accent6" w:themeTint="BF"/>
      </w:tblBorders>
    </w:tblPr>
    <w:tcPr>
      <w:shd w:val="clear" w:color="auto" w:fill="FFD3C0" w:themeFill="accent6" w:themeFillTint="3F"/>
    </w:tcPr>
    <w:tblStylePr w:type="firstRow">
      <w:rPr>
        <w:b/>
        <w:bCs/>
      </w:rPr>
    </w:tblStylePr>
    <w:tblStylePr w:type="lastRow">
      <w:rPr>
        <w:b/>
        <w:bCs/>
      </w:rPr>
      <w:tblPr/>
      <w:tcPr>
        <w:tcBorders>
          <w:top w:val="single" w:sz="18" w:space="0" w:color="FF7B40" w:themeColor="accent6" w:themeTint="BF"/>
        </w:tcBorders>
      </w:tcPr>
    </w:tblStylePr>
    <w:tblStylePr w:type="firstCol">
      <w:rPr>
        <w:b/>
        <w:bCs/>
      </w:rPr>
    </w:tblStylePr>
    <w:tblStylePr w:type="lastCol">
      <w:rPr>
        <w:b/>
        <w:bCs/>
      </w:rPr>
    </w:tblStylePr>
    <w:tblStylePr w:type="band1Vert">
      <w:tblPr/>
      <w:tcPr>
        <w:shd w:val="clear" w:color="auto" w:fill="FFA780" w:themeFill="accent6" w:themeFillTint="7F"/>
      </w:tcPr>
    </w:tblStylePr>
    <w:tblStylePr w:type="band1Horz">
      <w:tblPr/>
      <w:tcPr>
        <w:shd w:val="clear" w:color="auto" w:fill="FFA780" w:themeFill="accent6" w:themeFillTint="7F"/>
      </w:tcPr>
    </w:tblStylePr>
  </w:style>
  <w:style w:type="table" w:styleId="MediumGrid2">
    <w:name w:val="Medium Grid 2"/>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2D3F" w:themeColor="accent1"/>
        <w:left w:val="single" w:sz="8" w:space="0" w:color="052D3F" w:themeColor="accent1"/>
        <w:bottom w:val="single" w:sz="8" w:space="0" w:color="052D3F" w:themeColor="accent1"/>
        <w:right w:val="single" w:sz="8" w:space="0" w:color="052D3F" w:themeColor="accent1"/>
        <w:insideH w:val="single" w:sz="8" w:space="0" w:color="052D3F" w:themeColor="accent1"/>
        <w:insideV w:val="single" w:sz="8" w:space="0" w:color="052D3F" w:themeColor="accent1"/>
      </w:tblBorders>
    </w:tblPr>
    <w:tcPr>
      <w:shd w:val="clear" w:color="auto" w:fill="99D9F7" w:themeFill="accent1" w:themeFillTint="3F"/>
    </w:tcPr>
    <w:tblStylePr w:type="firstRow">
      <w:rPr>
        <w:b/>
        <w:bCs/>
        <w:color w:val="000000" w:themeColor="text1"/>
      </w:rPr>
      <w:tblPr/>
      <w:tcPr>
        <w:shd w:val="clear" w:color="auto" w:fill="D6F0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CE0F8" w:themeFill="accent1" w:themeFillTint="33"/>
      </w:tcPr>
    </w:tblStylePr>
    <w:tblStylePr w:type="band1Vert">
      <w:tblPr/>
      <w:tcPr>
        <w:shd w:val="clear" w:color="auto" w:fill="32B3EE" w:themeFill="accent1" w:themeFillTint="7F"/>
      </w:tcPr>
    </w:tblStylePr>
    <w:tblStylePr w:type="band1Horz">
      <w:tblPr/>
      <w:tcPr>
        <w:tcBorders>
          <w:insideH w:val="single" w:sz="6" w:space="0" w:color="052D3F" w:themeColor="accent1"/>
          <w:insideV w:val="single" w:sz="6" w:space="0" w:color="052D3F" w:themeColor="accent1"/>
        </w:tcBorders>
        <w:shd w:val="clear" w:color="auto" w:fill="32B3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8445E" w:themeColor="accent2"/>
        <w:left w:val="single" w:sz="8" w:space="0" w:color="08445E" w:themeColor="accent2"/>
        <w:bottom w:val="single" w:sz="8" w:space="0" w:color="08445E" w:themeColor="accent2"/>
        <w:right w:val="single" w:sz="8" w:space="0" w:color="08445E" w:themeColor="accent2"/>
        <w:insideH w:val="single" w:sz="8" w:space="0" w:color="08445E" w:themeColor="accent2"/>
        <w:insideV w:val="single" w:sz="8" w:space="0" w:color="08445E" w:themeColor="accent2"/>
      </w:tblBorders>
    </w:tblPr>
    <w:tcPr>
      <w:shd w:val="clear" w:color="auto" w:fill="A1DDF7" w:themeFill="accent2" w:themeFillTint="3F"/>
    </w:tcPr>
    <w:tblStylePr w:type="firstRow">
      <w:rPr>
        <w:b/>
        <w:bCs/>
        <w:color w:val="000000" w:themeColor="text1"/>
      </w:rPr>
      <w:tblPr/>
      <w:tcPr>
        <w:shd w:val="clear" w:color="auto" w:fill="DAF1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E3F8" w:themeFill="accent2" w:themeFillTint="33"/>
      </w:tcPr>
    </w:tblStylePr>
    <w:tblStylePr w:type="band1Vert">
      <w:tblPr/>
      <w:tcPr>
        <w:shd w:val="clear" w:color="auto" w:fill="43BAEF" w:themeFill="accent2" w:themeFillTint="7F"/>
      </w:tcPr>
    </w:tblStylePr>
    <w:tblStylePr w:type="band1Horz">
      <w:tblPr/>
      <w:tcPr>
        <w:tcBorders>
          <w:insideH w:val="single" w:sz="6" w:space="0" w:color="08445E" w:themeColor="accent2"/>
          <w:insideV w:val="single" w:sz="6" w:space="0" w:color="08445E" w:themeColor="accent2"/>
        </w:tcBorders>
        <w:shd w:val="clear" w:color="auto" w:fill="43BA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16379" w:themeColor="accent3"/>
        <w:left w:val="single" w:sz="8" w:space="0" w:color="316379" w:themeColor="accent3"/>
        <w:bottom w:val="single" w:sz="8" w:space="0" w:color="316379" w:themeColor="accent3"/>
        <w:right w:val="single" w:sz="8" w:space="0" w:color="316379" w:themeColor="accent3"/>
        <w:insideH w:val="single" w:sz="8" w:space="0" w:color="316379" w:themeColor="accent3"/>
        <w:insideV w:val="single" w:sz="8" w:space="0" w:color="316379" w:themeColor="accent3"/>
      </w:tblBorders>
    </w:tblPr>
    <w:tcPr>
      <w:shd w:val="clear" w:color="auto" w:fill="C3DBE6" w:themeFill="accent3" w:themeFillTint="3F"/>
    </w:tcPr>
    <w:tblStylePr w:type="firstRow">
      <w:rPr>
        <w:b/>
        <w:bCs/>
        <w:color w:val="000000" w:themeColor="text1"/>
      </w:rPr>
      <w:tblPr/>
      <w:tcPr>
        <w:shd w:val="clear" w:color="auto" w:fill="E7F1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2EB" w:themeFill="accent3" w:themeFillTint="33"/>
      </w:tcPr>
    </w:tblStylePr>
    <w:tblStylePr w:type="band1Vert">
      <w:tblPr/>
      <w:tcPr>
        <w:shd w:val="clear" w:color="auto" w:fill="86B8CE" w:themeFill="accent3" w:themeFillTint="7F"/>
      </w:tcPr>
    </w:tblStylePr>
    <w:tblStylePr w:type="band1Horz">
      <w:tblPr/>
      <w:tcPr>
        <w:tcBorders>
          <w:insideH w:val="single" w:sz="6" w:space="0" w:color="316379" w:themeColor="accent3"/>
          <w:insideV w:val="single" w:sz="6" w:space="0" w:color="316379" w:themeColor="accent3"/>
        </w:tcBorders>
        <w:shd w:val="clear" w:color="auto" w:fill="86B8C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4A2AF" w:themeColor="accent4"/>
        <w:left w:val="single" w:sz="8" w:space="0" w:color="84A2AF" w:themeColor="accent4"/>
        <w:bottom w:val="single" w:sz="8" w:space="0" w:color="84A2AF" w:themeColor="accent4"/>
        <w:right w:val="single" w:sz="8" w:space="0" w:color="84A2AF" w:themeColor="accent4"/>
        <w:insideH w:val="single" w:sz="8" w:space="0" w:color="84A2AF" w:themeColor="accent4"/>
        <w:insideV w:val="single" w:sz="8" w:space="0" w:color="84A2AF" w:themeColor="accent4"/>
      </w:tblBorders>
    </w:tblPr>
    <w:tcPr>
      <w:shd w:val="clear" w:color="auto" w:fill="E0E7EB" w:themeFill="accent4" w:themeFillTint="3F"/>
    </w:tcPr>
    <w:tblStylePr w:type="firstRow">
      <w:rPr>
        <w:b/>
        <w:bCs/>
        <w:color w:val="000000" w:themeColor="text1"/>
      </w:rPr>
      <w:tblPr/>
      <w:tcPr>
        <w:shd w:val="clear" w:color="auto" w:fill="F2F5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CEF" w:themeFill="accent4" w:themeFillTint="33"/>
      </w:tcPr>
    </w:tblStylePr>
    <w:tblStylePr w:type="band1Vert">
      <w:tblPr/>
      <w:tcPr>
        <w:shd w:val="clear" w:color="auto" w:fill="C1D0D7" w:themeFill="accent4" w:themeFillTint="7F"/>
      </w:tcPr>
    </w:tblStylePr>
    <w:tblStylePr w:type="band1Horz">
      <w:tblPr/>
      <w:tcPr>
        <w:tcBorders>
          <w:insideH w:val="single" w:sz="6" w:space="0" w:color="84A2AF" w:themeColor="accent4"/>
          <w:insideV w:val="single" w:sz="6" w:space="0" w:color="84A2AF" w:themeColor="accent4"/>
        </w:tcBorders>
        <w:shd w:val="clear" w:color="auto" w:fill="C1D0D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C1C9" w:themeColor="accent5"/>
        <w:left w:val="single" w:sz="8" w:space="0" w:color="ADC1C9" w:themeColor="accent5"/>
        <w:bottom w:val="single" w:sz="8" w:space="0" w:color="ADC1C9" w:themeColor="accent5"/>
        <w:right w:val="single" w:sz="8" w:space="0" w:color="ADC1C9" w:themeColor="accent5"/>
        <w:insideH w:val="single" w:sz="8" w:space="0" w:color="ADC1C9" w:themeColor="accent5"/>
        <w:insideV w:val="single" w:sz="8" w:space="0" w:color="ADC1C9" w:themeColor="accent5"/>
      </w:tblBorders>
    </w:tblPr>
    <w:tcPr>
      <w:shd w:val="clear" w:color="auto" w:fill="EAEFF1" w:themeFill="accent5" w:themeFillTint="3F"/>
    </w:tcPr>
    <w:tblStylePr w:type="firstRow">
      <w:rPr>
        <w:b/>
        <w:bCs/>
        <w:color w:val="000000" w:themeColor="text1"/>
      </w:rPr>
      <w:tblPr/>
      <w:tcPr>
        <w:shd w:val="clear" w:color="auto" w:fill="F6F8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2F4" w:themeFill="accent5" w:themeFillTint="33"/>
      </w:tcPr>
    </w:tblStylePr>
    <w:tblStylePr w:type="band1Vert">
      <w:tblPr/>
      <w:tcPr>
        <w:shd w:val="clear" w:color="auto" w:fill="D6DFE4" w:themeFill="accent5" w:themeFillTint="7F"/>
      </w:tcPr>
    </w:tblStylePr>
    <w:tblStylePr w:type="band1Horz">
      <w:tblPr/>
      <w:tcPr>
        <w:tcBorders>
          <w:insideH w:val="single" w:sz="6" w:space="0" w:color="ADC1C9" w:themeColor="accent5"/>
          <w:insideV w:val="single" w:sz="6" w:space="0" w:color="ADC1C9" w:themeColor="accent5"/>
        </w:tcBorders>
        <w:shd w:val="clear" w:color="auto" w:fill="D6DFE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5000" w:themeColor="accent6"/>
        <w:left w:val="single" w:sz="8" w:space="0" w:color="FF5000" w:themeColor="accent6"/>
        <w:bottom w:val="single" w:sz="8" w:space="0" w:color="FF5000" w:themeColor="accent6"/>
        <w:right w:val="single" w:sz="8" w:space="0" w:color="FF5000" w:themeColor="accent6"/>
        <w:insideH w:val="single" w:sz="8" w:space="0" w:color="FF5000" w:themeColor="accent6"/>
        <w:insideV w:val="single" w:sz="8" w:space="0" w:color="FF5000" w:themeColor="accent6"/>
      </w:tblBorders>
    </w:tblPr>
    <w:tcPr>
      <w:shd w:val="clear" w:color="auto" w:fill="FFD3C0" w:themeFill="accent6" w:themeFillTint="3F"/>
    </w:tcPr>
    <w:tblStylePr w:type="firstRow">
      <w:rPr>
        <w:b/>
        <w:bCs/>
        <w:color w:val="000000" w:themeColor="text1"/>
      </w:rPr>
      <w:tblPr/>
      <w:tcPr>
        <w:shd w:val="clear" w:color="auto" w:fill="FFED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CCC" w:themeFill="accent6" w:themeFillTint="33"/>
      </w:tcPr>
    </w:tblStylePr>
    <w:tblStylePr w:type="band1Vert">
      <w:tblPr/>
      <w:tcPr>
        <w:shd w:val="clear" w:color="auto" w:fill="FFA780" w:themeFill="accent6" w:themeFillTint="7F"/>
      </w:tcPr>
    </w:tblStylePr>
    <w:tblStylePr w:type="band1Horz">
      <w:tblPr/>
      <w:tcPr>
        <w:tcBorders>
          <w:insideH w:val="single" w:sz="6" w:space="0" w:color="FF5000" w:themeColor="accent6"/>
          <w:insideV w:val="single" w:sz="6" w:space="0" w:color="FF5000" w:themeColor="accent6"/>
        </w:tcBorders>
        <w:shd w:val="clear" w:color="auto" w:fill="FFA7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D9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2D3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2D3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2D3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2D3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B3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B3EE" w:themeFill="accent1" w:themeFillTint="7F"/>
      </w:tcPr>
    </w:tblStylePr>
  </w:style>
  <w:style w:type="table" w:styleId="MediumGrid3-Accent2">
    <w:name w:val="Medium Grid 3 Accent 2"/>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DD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8445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8445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8445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8445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BA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BAEF" w:themeFill="accent2" w:themeFillTint="7F"/>
      </w:tcPr>
    </w:tblStylePr>
  </w:style>
  <w:style w:type="table" w:styleId="MediumGrid3-Accent3">
    <w:name w:val="Medium Grid 3 Accent 3"/>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DBE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1637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1637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1637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1637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B8C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B8CE" w:themeFill="accent3" w:themeFillTint="7F"/>
      </w:tcPr>
    </w:tblStylePr>
  </w:style>
  <w:style w:type="table" w:styleId="MediumGrid3-Accent4">
    <w:name w:val="Medium Grid 3 Accent 4"/>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7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2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2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2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2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0D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0D7" w:themeFill="accent4" w:themeFillTint="7F"/>
      </w:tcPr>
    </w:tblStylePr>
  </w:style>
  <w:style w:type="table" w:styleId="MediumGrid3-Accent5">
    <w:name w:val="Medium Grid 3 Accent 5"/>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F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C1C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C1C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C1C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C1C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DF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DFE4" w:themeFill="accent5" w:themeFillTint="7F"/>
      </w:tcPr>
    </w:tblStylePr>
  </w:style>
  <w:style w:type="table" w:styleId="MediumGrid3-Accent6">
    <w:name w:val="Medium Grid 3 Accent 6"/>
    <w:basedOn w:val="TableNormal"/>
    <w:uiPriority w:val="69"/>
    <w:rsid w:val="00163F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3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7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780" w:themeFill="accent6" w:themeFillTint="7F"/>
      </w:tcPr>
    </w:tblStylePr>
  </w:style>
  <w:style w:type="table" w:styleId="MediumList1">
    <w:name w:val="Medium List 1"/>
    <w:basedOn w:val="TableNormal"/>
    <w:uiPriority w:val="65"/>
    <w:rsid w:val="00163F9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736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63F94"/>
    <w:pPr>
      <w:spacing w:after="0" w:line="240" w:lineRule="auto"/>
    </w:pPr>
    <w:rPr>
      <w:color w:val="000000" w:themeColor="text1"/>
    </w:rPr>
    <w:tblPr>
      <w:tblStyleRowBandSize w:val="1"/>
      <w:tblStyleColBandSize w:val="1"/>
      <w:tblBorders>
        <w:top w:val="single" w:sz="8" w:space="0" w:color="052D3F" w:themeColor="accent1"/>
        <w:bottom w:val="single" w:sz="8" w:space="0" w:color="052D3F" w:themeColor="accent1"/>
      </w:tblBorders>
    </w:tblPr>
    <w:tblStylePr w:type="firstRow">
      <w:rPr>
        <w:rFonts w:asciiTheme="majorHAnsi" w:eastAsiaTheme="majorEastAsia" w:hAnsiTheme="majorHAnsi" w:cstheme="majorBidi"/>
      </w:rPr>
      <w:tblPr/>
      <w:tcPr>
        <w:tcBorders>
          <w:top w:val="nil"/>
          <w:bottom w:val="single" w:sz="8" w:space="0" w:color="052D3F" w:themeColor="accent1"/>
        </w:tcBorders>
      </w:tcPr>
    </w:tblStylePr>
    <w:tblStylePr w:type="lastRow">
      <w:rPr>
        <w:b/>
        <w:bCs/>
        <w:color w:val="273641" w:themeColor="text2"/>
      </w:rPr>
      <w:tblPr/>
      <w:tcPr>
        <w:tcBorders>
          <w:top w:val="single" w:sz="8" w:space="0" w:color="052D3F" w:themeColor="accent1"/>
          <w:bottom w:val="single" w:sz="8" w:space="0" w:color="052D3F" w:themeColor="accent1"/>
        </w:tcBorders>
      </w:tcPr>
    </w:tblStylePr>
    <w:tblStylePr w:type="firstCol">
      <w:rPr>
        <w:b/>
        <w:bCs/>
      </w:rPr>
    </w:tblStylePr>
    <w:tblStylePr w:type="lastCol">
      <w:rPr>
        <w:b/>
        <w:bCs/>
      </w:rPr>
      <w:tblPr/>
      <w:tcPr>
        <w:tcBorders>
          <w:top w:val="single" w:sz="8" w:space="0" w:color="052D3F" w:themeColor="accent1"/>
          <w:bottom w:val="single" w:sz="8" w:space="0" w:color="052D3F" w:themeColor="accent1"/>
        </w:tcBorders>
      </w:tcPr>
    </w:tblStylePr>
    <w:tblStylePr w:type="band1Vert">
      <w:tblPr/>
      <w:tcPr>
        <w:shd w:val="clear" w:color="auto" w:fill="99D9F7" w:themeFill="accent1" w:themeFillTint="3F"/>
      </w:tcPr>
    </w:tblStylePr>
    <w:tblStylePr w:type="band1Horz">
      <w:tblPr/>
      <w:tcPr>
        <w:shd w:val="clear" w:color="auto" w:fill="99D9F7" w:themeFill="accent1" w:themeFillTint="3F"/>
      </w:tcPr>
    </w:tblStylePr>
  </w:style>
  <w:style w:type="table" w:styleId="MediumList1-Accent2">
    <w:name w:val="Medium List 1 Accent 2"/>
    <w:basedOn w:val="TableNormal"/>
    <w:uiPriority w:val="65"/>
    <w:rsid w:val="00163F94"/>
    <w:pPr>
      <w:spacing w:after="0" w:line="240" w:lineRule="auto"/>
    </w:pPr>
    <w:rPr>
      <w:color w:val="000000" w:themeColor="text1"/>
    </w:rPr>
    <w:tblPr>
      <w:tblStyleRowBandSize w:val="1"/>
      <w:tblStyleColBandSize w:val="1"/>
      <w:tblBorders>
        <w:top w:val="single" w:sz="8" w:space="0" w:color="08445E" w:themeColor="accent2"/>
        <w:bottom w:val="single" w:sz="8" w:space="0" w:color="08445E" w:themeColor="accent2"/>
      </w:tblBorders>
    </w:tblPr>
    <w:tblStylePr w:type="firstRow">
      <w:rPr>
        <w:rFonts w:asciiTheme="majorHAnsi" w:eastAsiaTheme="majorEastAsia" w:hAnsiTheme="majorHAnsi" w:cstheme="majorBidi"/>
      </w:rPr>
      <w:tblPr/>
      <w:tcPr>
        <w:tcBorders>
          <w:top w:val="nil"/>
          <w:bottom w:val="single" w:sz="8" w:space="0" w:color="08445E" w:themeColor="accent2"/>
        </w:tcBorders>
      </w:tcPr>
    </w:tblStylePr>
    <w:tblStylePr w:type="lastRow">
      <w:rPr>
        <w:b/>
        <w:bCs/>
        <w:color w:val="273641" w:themeColor="text2"/>
      </w:rPr>
      <w:tblPr/>
      <w:tcPr>
        <w:tcBorders>
          <w:top w:val="single" w:sz="8" w:space="0" w:color="08445E" w:themeColor="accent2"/>
          <w:bottom w:val="single" w:sz="8" w:space="0" w:color="08445E" w:themeColor="accent2"/>
        </w:tcBorders>
      </w:tcPr>
    </w:tblStylePr>
    <w:tblStylePr w:type="firstCol">
      <w:rPr>
        <w:b/>
        <w:bCs/>
      </w:rPr>
    </w:tblStylePr>
    <w:tblStylePr w:type="lastCol">
      <w:rPr>
        <w:b/>
        <w:bCs/>
      </w:rPr>
      <w:tblPr/>
      <w:tcPr>
        <w:tcBorders>
          <w:top w:val="single" w:sz="8" w:space="0" w:color="08445E" w:themeColor="accent2"/>
          <w:bottom w:val="single" w:sz="8" w:space="0" w:color="08445E" w:themeColor="accent2"/>
        </w:tcBorders>
      </w:tcPr>
    </w:tblStylePr>
    <w:tblStylePr w:type="band1Vert">
      <w:tblPr/>
      <w:tcPr>
        <w:shd w:val="clear" w:color="auto" w:fill="A1DDF7" w:themeFill="accent2" w:themeFillTint="3F"/>
      </w:tcPr>
    </w:tblStylePr>
    <w:tblStylePr w:type="band1Horz">
      <w:tblPr/>
      <w:tcPr>
        <w:shd w:val="clear" w:color="auto" w:fill="A1DDF7" w:themeFill="accent2" w:themeFillTint="3F"/>
      </w:tcPr>
    </w:tblStylePr>
  </w:style>
  <w:style w:type="table" w:styleId="MediumList1-Accent3">
    <w:name w:val="Medium List 1 Accent 3"/>
    <w:basedOn w:val="TableNormal"/>
    <w:uiPriority w:val="65"/>
    <w:rsid w:val="00163F94"/>
    <w:pPr>
      <w:spacing w:after="0" w:line="240" w:lineRule="auto"/>
    </w:pPr>
    <w:rPr>
      <w:color w:val="000000" w:themeColor="text1"/>
    </w:rPr>
    <w:tblPr>
      <w:tblStyleRowBandSize w:val="1"/>
      <w:tblStyleColBandSize w:val="1"/>
      <w:tblBorders>
        <w:top w:val="single" w:sz="8" w:space="0" w:color="316379" w:themeColor="accent3"/>
        <w:bottom w:val="single" w:sz="8" w:space="0" w:color="316379" w:themeColor="accent3"/>
      </w:tblBorders>
    </w:tblPr>
    <w:tblStylePr w:type="firstRow">
      <w:rPr>
        <w:rFonts w:asciiTheme="majorHAnsi" w:eastAsiaTheme="majorEastAsia" w:hAnsiTheme="majorHAnsi" w:cstheme="majorBidi"/>
      </w:rPr>
      <w:tblPr/>
      <w:tcPr>
        <w:tcBorders>
          <w:top w:val="nil"/>
          <w:bottom w:val="single" w:sz="8" w:space="0" w:color="316379" w:themeColor="accent3"/>
        </w:tcBorders>
      </w:tcPr>
    </w:tblStylePr>
    <w:tblStylePr w:type="lastRow">
      <w:rPr>
        <w:b/>
        <w:bCs/>
        <w:color w:val="273641" w:themeColor="text2"/>
      </w:rPr>
      <w:tblPr/>
      <w:tcPr>
        <w:tcBorders>
          <w:top w:val="single" w:sz="8" w:space="0" w:color="316379" w:themeColor="accent3"/>
          <w:bottom w:val="single" w:sz="8" w:space="0" w:color="316379" w:themeColor="accent3"/>
        </w:tcBorders>
      </w:tcPr>
    </w:tblStylePr>
    <w:tblStylePr w:type="firstCol">
      <w:rPr>
        <w:b/>
        <w:bCs/>
      </w:rPr>
    </w:tblStylePr>
    <w:tblStylePr w:type="lastCol">
      <w:rPr>
        <w:b/>
        <w:bCs/>
      </w:rPr>
      <w:tblPr/>
      <w:tcPr>
        <w:tcBorders>
          <w:top w:val="single" w:sz="8" w:space="0" w:color="316379" w:themeColor="accent3"/>
          <w:bottom w:val="single" w:sz="8" w:space="0" w:color="316379" w:themeColor="accent3"/>
        </w:tcBorders>
      </w:tcPr>
    </w:tblStylePr>
    <w:tblStylePr w:type="band1Vert">
      <w:tblPr/>
      <w:tcPr>
        <w:shd w:val="clear" w:color="auto" w:fill="C3DBE6" w:themeFill="accent3" w:themeFillTint="3F"/>
      </w:tcPr>
    </w:tblStylePr>
    <w:tblStylePr w:type="band1Horz">
      <w:tblPr/>
      <w:tcPr>
        <w:shd w:val="clear" w:color="auto" w:fill="C3DBE6" w:themeFill="accent3" w:themeFillTint="3F"/>
      </w:tcPr>
    </w:tblStylePr>
  </w:style>
  <w:style w:type="table" w:styleId="MediumList1-Accent4">
    <w:name w:val="Medium List 1 Accent 4"/>
    <w:basedOn w:val="TableNormal"/>
    <w:uiPriority w:val="65"/>
    <w:rsid w:val="00163F94"/>
    <w:pPr>
      <w:spacing w:after="0" w:line="240" w:lineRule="auto"/>
    </w:pPr>
    <w:rPr>
      <w:color w:val="000000" w:themeColor="text1"/>
    </w:rPr>
    <w:tblPr>
      <w:tblStyleRowBandSize w:val="1"/>
      <w:tblStyleColBandSize w:val="1"/>
      <w:tblBorders>
        <w:top w:val="single" w:sz="8" w:space="0" w:color="84A2AF" w:themeColor="accent4"/>
        <w:bottom w:val="single" w:sz="8" w:space="0" w:color="84A2AF" w:themeColor="accent4"/>
      </w:tblBorders>
    </w:tblPr>
    <w:tblStylePr w:type="firstRow">
      <w:rPr>
        <w:rFonts w:asciiTheme="majorHAnsi" w:eastAsiaTheme="majorEastAsia" w:hAnsiTheme="majorHAnsi" w:cstheme="majorBidi"/>
      </w:rPr>
      <w:tblPr/>
      <w:tcPr>
        <w:tcBorders>
          <w:top w:val="nil"/>
          <w:bottom w:val="single" w:sz="8" w:space="0" w:color="84A2AF" w:themeColor="accent4"/>
        </w:tcBorders>
      </w:tcPr>
    </w:tblStylePr>
    <w:tblStylePr w:type="lastRow">
      <w:rPr>
        <w:b/>
        <w:bCs/>
        <w:color w:val="273641" w:themeColor="text2"/>
      </w:rPr>
      <w:tblPr/>
      <w:tcPr>
        <w:tcBorders>
          <w:top w:val="single" w:sz="8" w:space="0" w:color="84A2AF" w:themeColor="accent4"/>
          <w:bottom w:val="single" w:sz="8" w:space="0" w:color="84A2AF" w:themeColor="accent4"/>
        </w:tcBorders>
      </w:tcPr>
    </w:tblStylePr>
    <w:tblStylePr w:type="firstCol">
      <w:rPr>
        <w:b/>
        <w:bCs/>
      </w:rPr>
    </w:tblStylePr>
    <w:tblStylePr w:type="lastCol">
      <w:rPr>
        <w:b/>
        <w:bCs/>
      </w:rPr>
      <w:tblPr/>
      <w:tcPr>
        <w:tcBorders>
          <w:top w:val="single" w:sz="8" w:space="0" w:color="84A2AF" w:themeColor="accent4"/>
          <w:bottom w:val="single" w:sz="8" w:space="0" w:color="84A2AF" w:themeColor="accent4"/>
        </w:tcBorders>
      </w:tcPr>
    </w:tblStylePr>
    <w:tblStylePr w:type="band1Vert">
      <w:tblPr/>
      <w:tcPr>
        <w:shd w:val="clear" w:color="auto" w:fill="E0E7EB" w:themeFill="accent4" w:themeFillTint="3F"/>
      </w:tcPr>
    </w:tblStylePr>
    <w:tblStylePr w:type="band1Horz">
      <w:tblPr/>
      <w:tcPr>
        <w:shd w:val="clear" w:color="auto" w:fill="E0E7EB" w:themeFill="accent4" w:themeFillTint="3F"/>
      </w:tcPr>
    </w:tblStylePr>
  </w:style>
  <w:style w:type="table" w:styleId="MediumList1-Accent5">
    <w:name w:val="Medium List 1 Accent 5"/>
    <w:basedOn w:val="TableNormal"/>
    <w:uiPriority w:val="65"/>
    <w:rsid w:val="00163F94"/>
    <w:pPr>
      <w:spacing w:after="0" w:line="240" w:lineRule="auto"/>
    </w:pPr>
    <w:rPr>
      <w:color w:val="000000" w:themeColor="text1"/>
    </w:rPr>
    <w:tblPr>
      <w:tblStyleRowBandSize w:val="1"/>
      <w:tblStyleColBandSize w:val="1"/>
      <w:tblBorders>
        <w:top w:val="single" w:sz="8" w:space="0" w:color="ADC1C9" w:themeColor="accent5"/>
        <w:bottom w:val="single" w:sz="8" w:space="0" w:color="ADC1C9" w:themeColor="accent5"/>
      </w:tblBorders>
    </w:tblPr>
    <w:tblStylePr w:type="firstRow">
      <w:rPr>
        <w:rFonts w:asciiTheme="majorHAnsi" w:eastAsiaTheme="majorEastAsia" w:hAnsiTheme="majorHAnsi" w:cstheme="majorBidi"/>
      </w:rPr>
      <w:tblPr/>
      <w:tcPr>
        <w:tcBorders>
          <w:top w:val="nil"/>
          <w:bottom w:val="single" w:sz="8" w:space="0" w:color="ADC1C9" w:themeColor="accent5"/>
        </w:tcBorders>
      </w:tcPr>
    </w:tblStylePr>
    <w:tblStylePr w:type="lastRow">
      <w:rPr>
        <w:b/>
        <w:bCs/>
        <w:color w:val="273641" w:themeColor="text2"/>
      </w:rPr>
      <w:tblPr/>
      <w:tcPr>
        <w:tcBorders>
          <w:top w:val="single" w:sz="8" w:space="0" w:color="ADC1C9" w:themeColor="accent5"/>
          <w:bottom w:val="single" w:sz="8" w:space="0" w:color="ADC1C9" w:themeColor="accent5"/>
        </w:tcBorders>
      </w:tcPr>
    </w:tblStylePr>
    <w:tblStylePr w:type="firstCol">
      <w:rPr>
        <w:b/>
        <w:bCs/>
      </w:rPr>
    </w:tblStylePr>
    <w:tblStylePr w:type="lastCol">
      <w:rPr>
        <w:b/>
        <w:bCs/>
      </w:rPr>
      <w:tblPr/>
      <w:tcPr>
        <w:tcBorders>
          <w:top w:val="single" w:sz="8" w:space="0" w:color="ADC1C9" w:themeColor="accent5"/>
          <w:bottom w:val="single" w:sz="8" w:space="0" w:color="ADC1C9" w:themeColor="accent5"/>
        </w:tcBorders>
      </w:tcPr>
    </w:tblStylePr>
    <w:tblStylePr w:type="band1Vert">
      <w:tblPr/>
      <w:tcPr>
        <w:shd w:val="clear" w:color="auto" w:fill="EAEFF1" w:themeFill="accent5" w:themeFillTint="3F"/>
      </w:tcPr>
    </w:tblStylePr>
    <w:tblStylePr w:type="band1Horz">
      <w:tblPr/>
      <w:tcPr>
        <w:shd w:val="clear" w:color="auto" w:fill="EAEFF1" w:themeFill="accent5" w:themeFillTint="3F"/>
      </w:tcPr>
    </w:tblStylePr>
  </w:style>
  <w:style w:type="table" w:styleId="MediumList1-Accent6">
    <w:name w:val="Medium List 1 Accent 6"/>
    <w:basedOn w:val="TableNormal"/>
    <w:uiPriority w:val="65"/>
    <w:rsid w:val="00163F94"/>
    <w:pPr>
      <w:spacing w:after="0" w:line="240" w:lineRule="auto"/>
    </w:pPr>
    <w:rPr>
      <w:color w:val="000000" w:themeColor="text1"/>
    </w:rPr>
    <w:tblPr>
      <w:tblStyleRowBandSize w:val="1"/>
      <w:tblStyleColBandSize w:val="1"/>
      <w:tblBorders>
        <w:top w:val="single" w:sz="8" w:space="0" w:color="FF5000" w:themeColor="accent6"/>
        <w:bottom w:val="single" w:sz="8" w:space="0" w:color="FF5000" w:themeColor="accent6"/>
      </w:tblBorders>
    </w:tblPr>
    <w:tblStylePr w:type="firstRow">
      <w:rPr>
        <w:rFonts w:asciiTheme="majorHAnsi" w:eastAsiaTheme="majorEastAsia" w:hAnsiTheme="majorHAnsi" w:cstheme="majorBidi"/>
      </w:rPr>
      <w:tblPr/>
      <w:tcPr>
        <w:tcBorders>
          <w:top w:val="nil"/>
          <w:bottom w:val="single" w:sz="8" w:space="0" w:color="FF5000" w:themeColor="accent6"/>
        </w:tcBorders>
      </w:tcPr>
    </w:tblStylePr>
    <w:tblStylePr w:type="lastRow">
      <w:rPr>
        <w:b/>
        <w:bCs/>
        <w:color w:val="273641" w:themeColor="text2"/>
      </w:rPr>
      <w:tblPr/>
      <w:tcPr>
        <w:tcBorders>
          <w:top w:val="single" w:sz="8" w:space="0" w:color="FF5000" w:themeColor="accent6"/>
          <w:bottom w:val="single" w:sz="8" w:space="0" w:color="FF5000" w:themeColor="accent6"/>
        </w:tcBorders>
      </w:tcPr>
    </w:tblStylePr>
    <w:tblStylePr w:type="firstCol">
      <w:rPr>
        <w:b/>
        <w:bCs/>
      </w:rPr>
    </w:tblStylePr>
    <w:tblStylePr w:type="lastCol">
      <w:rPr>
        <w:b/>
        <w:bCs/>
      </w:rPr>
      <w:tblPr/>
      <w:tcPr>
        <w:tcBorders>
          <w:top w:val="single" w:sz="8" w:space="0" w:color="FF5000" w:themeColor="accent6"/>
          <w:bottom w:val="single" w:sz="8" w:space="0" w:color="FF5000" w:themeColor="accent6"/>
        </w:tcBorders>
      </w:tcPr>
    </w:tblStylePr>
    <w:tblStylePr w:type="band1Vert">
      <w:tblPr/>
      <w:tcPr>
        <w:shd w:val="clear" w:color="auto" w:fill="FFD3C0" w:themeFill="accent6" w:themeFillTint="3F"/>
      </w:tcPr>
    </w:tblStylePr>
    <w:tblStylePr w:type="band1Horz">
      <w:tblPr/>
      <w:tcPr>
        <w:shd w:val="clear" w:color="auto" w:fill="FFD3C0" w:themeFill="accent6" w:themeFillTint="3F"/>
      </w:tcPr>
    </w:tblStylePr>
  </w:style>
  <w:style w:type="table" w:styleId="MediumList2">
    <w:name w:val="Medium List 2"/>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2D3F" w:themeColor="accent1"/>
        <w:left w:val="single" w:sz="8" w:space="0" w:color="052D3F" w:themeColor="accent1"/>
        <w:bottom w:val="single" w:sz="8" w:space="0" w:color="052D3F" w:themeColor="accent1"/>
        <w:right w:val="single" w:sz="8" w:space="0" w:color="052D3F" w:themeColor="accent1"/>
      </w:tblBorders>
    </w:tblPr>
    <w:tblStylePr w:type="firstRow">
      <w:rPr>
        <w:sz w:val="24"/>
        <w:szCs w:val="24"/>
      </w:rPr>
      <w:tblPr/>
      <w:tcPr>
        <w:tcBorders>
          <w:top w:val="nil"/>
          <w:left w:val="nil"/>
          <w:bottom w:val="single" w:sz="24" w:space="0" w:color="052D3F" w:themeColor="accent1"/>
          <w:right w:val="nil"/>
          <w:insideH w:val="nil"/>
          <w:insideV w:val="nil"/>
        </w:tcBorders>
        <w:shd w:val="clear" w:color="auto" w:fill="FFFFFF" w:themeFill="background1"/>
      </w:tcPr>
    </w:tblStylePr>
    <w:tblStylePr w:type="lastRow">
      <w:tblPr/>
      <w:tcPr>
        <w:tcBorders>
          <w:top w:val="single" w:sz="8" w:space="0" w:color="052D3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2D3F" w:themeColor="accent1"/>
          <w:insideH w:val="nil"/>
          <w:insideV w:val="nil"/>
        </w:tcBorders>
        <w:shd w:val="clear" w:color="auto" w:fill="FFFFFF" w:themeFill="background1"/>
      </w:tcPr>
    </w:tblStylePr>
    <w:tblStylePr w:type="lastCol">
      <w:tblPr/>
      <w:tcPr>
        <w:tcBorders>
          <w:top w:val="nil"/>
          <w:left w:val="single" w:sz="8" w:space="0" w:color="052D3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D9F7" w:themeFill="accent1" w:themeFillTint="3F"/>
      </w:tcPr>
    </w:tblStylePr>
    <w:tblStylePr w:type="band1Horz">
      <w:tblPr/>
      <w:tcPr>
        <w:tcBorders>
          <w:top w:val="nil"/>
          <w:bottom w:val="nil"/>
          <w:insideH w:val="nil"/>
          <w:insideV w:val="nil"/>
        </w:tcBorders>
        <w:shd w:val="clear" w:color="auto" w:fill="99D9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8445E" w:themeColor="accent2"/>
        <w:left w:val="single" w:sz="8" w:space="0" w:color="08445E" w:themeColor="accent2"/>
        <w:bottom w:val="single" w:sz="8" w:space="0" w:color="08445E" w:themeColor="accent2"/>
        <w:right w:val="single" w:sz="8" w:space="0" w:color="08445E" w:themeColor="accent2"/>
      </w:tblBorders>
    </w:tblPr>
    <w:tblStylePr w:type="firstRow">
      <w:rPr>
        <w:sz w:val="24"/>
        <w:szCs w:val="24"/>
      </w:rPr>
      <w:tblPr/>
      <w:tcPr>
        <w:tcBorders>
          <w:top w:val="nil"/>
          <w:left w:val="nil"/>
          <w:bottom w:val="single" w:sz="24" w:space="0" w:color="08445E" w:themeColor="accent2"/>
          <w:right w:val="nil"/>
          <w:insideH w:val="nil"/>
          <w:insideV w:val="nil"/>
        </w:tcBorders>
        <w:shd w:val="clear" w:color="auto" w:fill="FFFFFF" w:themeFill="background1"/>
      </w:tcPr>
    </w:tblStylePr>
    <w:tblStylePr w:type="lastRow">
      <w:tblPr/>
      <w:tcPr>
        <w:tcBorders>
          <w:top w:val="single" w:sz="8" w:space="0" w:color="08445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445E" w:themeColor="accent2"/>
          <w:insideH w:val="nil"/>
          <w:insideV w:val="nil"/>
        </w:tcBorders>
        <w:shd w:val="clear" w:color="auto" w:fill="FFFFFF" w:themeFill="background1"/>
      </w:tcPr>
    </w:tblStylePr>
    <w:tblStylePr w:type="lastCol">
      <w:tblPr/>
      <w:tcPr>
        <w:tcBorders>
          <w:top w:val="nil"/>
          <w:left w:val="single" w:sz="8" w:space="0" w:color="08445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DDF7" w:themeFill="accent2" w:themeFillTint="3F"/>
      </w:tcPr>
    </w:tblStylePr>
    <w:tblStylePr w:type="band1Horz">
      <w:tblPr/>
      <w:tcPr>
        <w:tcBorders>
          <w:top w:val="nil"/>
          <w:bottom w:val="nil"/>
          <w:insideH w:val="nil"/>
          <w:insideV w:val="nil"/>
        </w:tcBorders>
        <w:shd w:val="clear" w:color="auto" w:fill="A1DD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16379" w:themeColor="accent3"/>
        <w:left w:val="single" w:sz="8" w:space="0" w:color="316379" w:themeColor="accent3"/>
        <w:bottom w:val="single" w:sz="8" w:space="0" w:color="316379" w:themeColor="accent3"/>
        <w:right w:val="single" w:sz="8" w:space="0" w:color="316379" w:themeColor="accent3"/>
      </w:tblBorders>
    </w:tblPr>
    <w:tblStylePr w:type="firstRow">
      <w:rPr>
        <w:sz w:val="24"/>
        <w:szCs w:val="24"/>
      </w:rPr>
      <w:tblPr/>
      <w:tcPr>
        <w:tcBorders>
          <w:top w:val="nil"/>
          <w:left w:val="nil"/>
          <w:bottom w:val="single" w:sz="24" w:space="0" w:color="316379" w:themeColor="accent3"/>
          <w:right w:val="nil"/>
          <w:insideH w:val="nil"/>
          <w:insideV w:val="nil"/>
        </w:tcBorders>
        <w:shd w:val="clear" w:color="auto" w:fill="FFFFFF" w:themeFill="background1"/>
      </w:tcPr>
    </w:tblStylePr>
    <w:tblStylePr w:type="lastRow">
      <w:tblPr/>
      <w:tcPr>
        <w:tcBorders>
          <w:top w:val="single" w:sz="8" w:space="0" w:color="31637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16379" w:themeColor="accent3"/>
          <w:insideH w:val="nil"/>
          <w:insideV w:val="nil"/>
        </w:tcBorders>
        <w:shd w:val="clear" w:color="auto" w:fill="FFFFFF" w:themeFill="background1"/>
      </w:tcPr>
    </w:tblStylePr>
    <w:tblStylePr w:type="lastCol">
      <w:tblPr/>
      <w:tcPr>
        <w:tcBorders>
          <w:top w:val="nil"/>
          <w:left w:val="single" w:sz="8" w:space="0" w:color="31637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DBE6" w:themeFill="accent3" w:themeFillTint="3F"/>
      </w:tcPr>
    </w:tblStylePr>
    <w:tblStylePr w:type="band1Horz">
      <w:tblPr/>
      <w:tcPr>
        <w:tcBorders>
          <w:top w:val="nil"/>
          <w:bottom w:val="nil"/>
          <w:insideH w:val="nil"/>
          <w:insideV w:val="nil"/>
        </w:tcBorders>
        <w:shd w:val="clear" w:color="auto" w:fill="C3DBE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4A2AF" w:themeColor="accent4"/>
        <w:left w:val="single" w:sz="8" w:space="0" w:color="84A2AF" w:themeColor="accent4"/>
        <w:bottom w:val="single" w:sz="8" w:space="0" w:color="84A2AF" w:themeColor="accent4"/>
        <w:right w:val="single" w:sz="8" w:space="0" w:color="84A2AF" w:themeColor="accent4"/>
      </w:tblBorders>
    </w:tblPr>
    <w:tblStylePr w:type="firstRow">
      <w:rPr>
        <w:sz w:val="24"/>
        <w:szCs w:val="24"/>
      </w:rPr>
      <w:tblPr/>
      <w:tcPr>
        <w:tcBorders>
          <w:top w:val="nil"/>
          <w:left w:val="nil"/>
          <w:bottom w:val="single" w:sz="24" w:space="0" w:color="84A2AF" w:themeColor="accent4"/>
          <w:right w:val="nil"/>
          <w:insideH w:val="nil"/>
          <w:insideV w:val="nil"/>
        </w:tcBorders>
        <w:shd w:val="clear" w:color="auto" w:fill="FFFFFF" w:themeFill="background1"/>
      </w:tcPr>
    </w:tblStylePr>
    <w:tblStylePr w:type="lastRow">
      <w:tblPr/>
      <w:tcPr>
        <w:tcBorders>
          <w:top w:val="single" w:sz="8" w:space="0" w:color="84A2A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2AF" w:themeColor="accent4"/>
          <w:insideH w:val="nil"/>
          <w:insideV w:val="nil"/>
        </w:tcBorders>
        <w:shd w:val="clear" w:color="auto" w:fill="FFFFFF" w:themeFill="background1"/>
      </w:tcPr>
    </w:tblStylePr>
    <w:tblStylePr w:type="lastCol">
      <w:tblPr/>
      <w:tcPr>
        <w:tcBorders>
          <w:top w:val="nil"/>
          <w:left w:val="single" w:sz="8" w:space="0" w:color="84A2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7EB" w:themeFill="accent4" w:themeFillTint="3F"/>
      </w:tcPr>
    </w:tblStylePr>
    <w:tblStylePr w:type="band1Horz">
      <w:tblPr/>
      <w:tcPr>
        <w:tcBorders>
          <w:top w:val="nil"/>
          <w:bottom w:val="nil"/>
          <w:insideH w:val="nil"/>
          <w:insideV w:val="nil"/>
        </w:tcBorders>
        <w:shd w:val="clear" w:color="auto" w:fill="E0E7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C1C9" w:themeColor="accent5"/>
        <w:left w:val="single" w:sz="8" w:space="0" w:color="ADC1C9" w:themeColor="accent5"/>
        <w:bottom w:val="single" w:sz="8" w:space="0" w:color="ADC1C9" w:themeColor="accent5"/>
        <w:right w:val="single" w:sz="8" w:space="0" w:color="ADC1C9" w:themeColor="accent5"/>
      </w:tblBorders>
    </w:tblPr>
    <w:tblStylePr w:type="firstRow">
      <w:rPr>
        <w:sz w:val="24"/>
        <w:szCs w:val="24"/>
      </w:rPr>
      <w:tblPr/>
      <w:tcPr>
        <w:tcBorders>
          <w:top w:val="nil"/>
          <w:left w:val="nil"/>
          <w:bottom w:val="single" w:sz="24" w:space="0" w:color="ADC1C9" w:themeColor="accent5"/>
          <w:right w:val="nil"/>
          <w:insideH w:val="nil"/>
          <w:insideV w:val="nil"/>
        </w:tcBorders>
        <w:shd w:val="clear" w:color="auto" w:fill="FFFFFF" w:themeFill="background1"/>
      </w:tcPr>
    </w:tblStylePr>
    <w:tblStylePr w:type="lastRow">
      <w:tblPr/>
      <w:tcPr>
        <w:tcBorders>
          <w:top w:val="single" w:sz="8" w:space="0" w:color="ADC1C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C1C9" w:themeColor="accent5"/>
          <w:insideH w:val="nil"/>
          <w:insideV w:val="nil"/>
        </w:tcBorders>
        <w:shd w:val="clear" w:color="auto" w:fill="FFFFFF" w:themeFill="background1"/>
      </w:tcPr>
    </w:tblStylePr>
    <w:tblStylePr w:type="lastCol">
      <w:tblPr/>
      <w:tcPr>
        <w:tcBorders>
          <w:top w:val="nil"/>
          <w:left w:val="single" w:sz="8" w:space="0" w:color="ADC1C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FF1" w:themeFill="accent5" w:themeFillTint="3F"/>
      </w:tcPr>
    </w:tblStylePr>
    <w:tblStylePr w:type="band1Horz">
      <w:tblPr/>
      <w:tcPr>
        <w:tcBorders>
          <w:top w:val="nil"/>
          <w:bottom w:val="nil"/>
          <w:insideH w:val="nil"/>
          <w:insideV w:val="nil"/>
        </w:tcBorders>
        <w:shd w:val="clear" w:color="auto" w:fill="EAEF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63F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5000" w:themeColor="accent6"/>
        <w:left w:val="single" w:sz="8" w:space="0" w:color="FF5000" w:themeColor="accent6"/>
        <w:bottom w:val="single" w:sz="8" w:space="0" w:color="FF5000" w:themeColor="accent6"/>
        <w:right w:val="single" w:sz="8" w:space="0" w:color="FF5000" w:themeColor="accent6"/>
      </w:tblBorders>
    </w:tblPr>
    <w:tblStylePr w:type="firstRow">
      <w:rPr>
        <w:sz w:val="24"/>
        <w:szCs w:val="24"/>
      </w:rPr>
      <w:tblPr/>
      <w:tcPr>
        <w:tcBorders>
          <w:top w:val="nil"/>
          <w:left w:val="nil"/>
          <w:bottom w:val="single" w:sz="24" w:space="0" w:color="FF5000" w:themeColor="accent6"/>
          <w:right w:val="nil"/>
          <w:insideH w:val="nil"/>
          <w:insideV w:val="nil"/>
        </w:tcBorders>
        <w:shd w:val="clear" w:color="auto" w:fill="FFFFFF" w:themeFill="background1"/>
      </w:tcPr>
    </w:tblStylePr>
    <w:tblStylePr w:type="lastRow">
      <w:tblPr/>
      <w:tcPr>
        <w:tcBorders>
          <w:top w:val="single" w:sz="8" w:space="0" w:color="FF5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000" w:themeColor="accent6"/>
          <w:insideH w:val="nil"/>
          <w:insideV w:val="nil"/>
        </w:tcBorders>
        <w:shd w:val="clear" w:color="auto" w:fill="FFFFFF" w:themeFill="background1"/>
      </w:tcPr>
    </w:tblStylePr>
    <w:tblStylePr w:type="lastCol">
      <w:tblPr/>
      <w:tcPr>
        <w:tcBorders>
          <w:top w:val="nil"/>
          <w:left w:val="single" w:sz="8" w:space="0" w:color="FF5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3C0" w:themeFill="accent6" w:themeFillTint="3F"/>
      </w:tcPr>
    </w:tblStylePr>
    <w:tblStylePr w:type="band1Horz">
      <w:tblPr/>
      <w:tcPr>
        <w:tcBorders>
          <w:top w:val="nil"/>
          <w:bottom w:val="nil"/>
          <w:insideH w:val="nil"/>
          <w:insideV w:val="nil"/>
        </w:tcBorders>
        <w:shd w:val="clear" w:color="auto" w:fill="FFD3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163F9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63F94"/>
    <w:pPr>
      <w:spacing w:after="0" w:line="240" w:lineRule="auto"/>
    </w:pPr>
    <w:tblPr>
      <w:tblStyleRowBandSize w:val="1"/>
      <w:tblStyleColBandSize w:val="1"/>
      <w:tblBorders>
        <w:top w:val="single" w:sz="8" w:space="0" w:color="0D75A5" w:themeColor="accent1" w:themeTint="BF"/>
        <w:left w:val="single" w:sz="8" w:space="0" w:color="0D75A5" w:themeColor="accent1" w:themeTint="BF"/>
        <w:bottom w:val="single" w:sz="8" w:space="0" w:color="0D75A5" w:themeColor="accent1" w:themeTint="BF"/>
        <w:right w:val="single" w:sz="8" w:space="0" w:color="0D75A5" w:themeColor="accent1" w:themeTint="BF"/>
        <w:insideH w:val="single" w:sz="8" w:space="0" w:color="0D75A5" w:themeColor="accent1" w:themeTint="BF"/>
      </w:tblBorders>
    </w:tblPr>
    <w:tblStylePr w:type="firstRow">
      <w:pPr>
        <w:spacing w:before="0" w:after="0" w:line="240" w:lineRule="auto"/>
      </w:pPr>
      <w:rPr>
        <w:b/>
        <w:bCs/>
        <w:color w:val="FFFFFF" w:themeColor="background1"/>
      </w:rPr>
      <w:tblPr/>
      <w:tcPr>
        <w:tcBorders>
          <w:top w:val="single" w:sz="8" w:space="0" w:color="0D75A5" w:themeColor="accent1" w:themeTint="BF"/>
          <w:left w:val="single" w:sz="8" w:space="0" w:color="0D75A5" w:themeColor="accent1" w:themeTint="BF"/>
          <w:bottom w:val="single" w:sz="8" w:space="0" w:color="0D75A5" w:themeColor="accent1" w:themeTint="BF"/>
          <w:right w:val="single" w:sz="8" w:space="0" w:color="0D75A5" w:themeColor="accent1" w:themeTint="BF"/>
          <w:insideH w:val="nil"/>
          <w:insideV w:val="nil"/>
        </w:tcBorders>
        <w:shd w:val="clear" w:color="auto" w:fill="052D3F" w:themeFill="accent1"/>
      </w:tcPr>
    </w:tblStylePr>
    <w:tblStylePr w:type="lastRow">
      <w:pPr>
        <w:spacing w:before="0" w:after="0" w:line="240" w:lineRule="auto"/>
      </w:pPr>
      <w:rPr>
        <w:b/>
        <w:bCs/>
      </w:rPr>
      <w:tblPr/>
      <w:tcPr>
        <w:tcBorders>
          <w:top w:val="double" w:sz="6" w:space="0" w:color="0D75A5" w:themeColor="accent1" w:themeTint="BF"/>
          <w:left w:val="single" w:sz="8" w:space="0" w:color="0D75A5" w:themeColor="accent1" w:themeTint="BF"/>
          <w:bottom w:val="single" w:sz="8" w:space="0" w:color="0D75A5" w:themeColor="accent1" w:themeTint="BF"/>
          <w:right w:val="single" w:sz="8" w:space="0" w:color="0D75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9D9F7" w:themeFill="accent1" w:themeFillTint="3F"/>
      </w:tcPr>
    </w:tblStylePr>
    <w:tblStylePr w:type="band1Horz">
      <w:tblPr/>
      <w:tcPr>
        <w:tcBorders>
          <w:insideH w:val="nil"/>
          <w:insideV w:val="nil"/>
        </w:tcBorders>
        <w:shd w:val="clear" w:color="auto" w:fill="99D9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63F94"/>
    <w:pPr>
      <w:spacing w:after="0" w:line="240" w:lineRule="auto"/>
    </w:pPr>
    <w:tblPr>
      <w:tblStyleRowBandSize w:val="1"/>
      <w:tblStyleColBandSize w:val="1"/>
      <w:tblBorders>
        <w:top w:val="single" w:sz="8" w:space="0" w:color="1087BC" w:themeColor="accent2" w:themeTint="BF"/>
        <w:left w:val="single" w:sz="8" w:space="0" w:color="1087BC" w:themeColor="accent2" w:themeTint="BF"/>
        <w:bottom w:val="single" w:sz="8" w:space="0" w:color="1087BC" w:themeColor="accent2" w:themeTint="BF"/>
        <w:right w:val="single" w:sz="8" w:space="0" w:color="1087BC" w:themeColor="accent2" w:themeTint="BF"/>
        <w:insideH w:val="single" w:sz="8" w:space="0" w:color="1087BC" w:themeColor="accent2" w:themeTint="BF"/>
      </w:tblBorders>
    </w:tblPr>
    <w:tblStylePr w:type="firstRow">
      <w:pPr>
        <w:spacing w:before="0" w:after="0" w:line="240" w:lineRule="auto"/>
      </w:pPr>
      <w:rPr>
        <w:b/>
        <w:bCs/>
        <w:color w:val="FFFFFF" w:themeColor="background1"/>
      </w:rPr>
      <w:tblPr/>
      <w:tcPr>
        <w:tcBorders>
          <w:top w:val="single" w:sz="8" w:space="0" w:color="1087BC" w:themeColor="accent2" w:themeTint="BF"/>
          <w:left w:val="single" w:sz="8" w:space="0" w:color="1087BC" w:themeColor="accent2" w:themeTint="BF"/>
          <w:bottom w:val="single" w:sz="8" w:space="0" w:color="1087BC" w:themeColor="accent2" w:themeTint="BF"/>
          <w:right w:val="single" w:sz="8" w:space="0" w:color="1087BC" w:themeColor="accent2" w:themeTint="BF"/>
          <w:insideH w:val="nil"/>
          <w:insideV w:val="nil"/>
        </w:tcBorders>
        <w:shd w:val="clear" w:color="auto" w:fill="08445E" w:themeFill="accent2"/>
      </w:tcPr>
    </w:tblStylePr>
    <w:tblStylePr w:type="lastRow">
      <w:pPr>
        <w:spacing w:before="0" w:after="0" w:line="240" w:lineRule="auto"/>
      </w:pPr>
      <w:rPr>
        <w:b/>
        <w:bCs/>
      </w:rPr>
      <w:tblPr/>
      <w:tcPr>
        <w:tcBorders>
          <w:top w:val="double" w:sz="6" w:space="0" w:color="1087BC" w:themeColor="accent2" w:themeTint="BF"/>
          <w:left w:val="single" w:sz="8" w:space="0" w:color="1087BC" w:themeColor="accent2" w:themeTint="BF"/>
          <w:bottom w:val="single" w:sz="8" w:space="0" w:color="1087BC" w:themeColor="accent2" w:themeTint="BF"/>
          <w:right w:val="single" w:sz="8" w:space="0" w:color="1087B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1DDF7" w:themeFill="accent2" w:themeFillTint="3F"/>
      </w:tcPr>
    </w:tblStylePr>
    <w:tblStylePr w:type="band1Horz">
      <w:tblPr/>
      <w:tcPr>
        <w:tcBorders>
          <w:insideH w:val="nil"/>
          <w:insideV w:val="nil"/>
        </w:tcBorders>
        <w:shd w:val="clear" w:color="auto" w:fill="A1DD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63F94"/>
    <w:pPr>
      <w:spacing w:after="0" w:line="240" w:lineRule="auto"/>
    </w:pPr>
    <w:tblPr>
      <w:tblStyleRowBandSize w:val="1"/>
      <w:tblStyleColBandSize w:val="1"/>
      <w:tblBorders>
        <w:top w:val="single" w:sz="8" w:space="0" w:color="4994B5" w:themeColor="accent3" w:themeTint="BF"/>
        <w:left w:val="single" w:sz="8" w:space="0" w:color="4994B5" w:themeColor="accent3" w:themeTint="BF"/>
        <w:bottom w:val="single" w:sz="8" w:space="0" w:color="4994B5" w:themeColor="accent3" w:themeTint="BF"/>
        <w:right w:val="single" w:sz="8" w:space="0" w:color="4994B5" w:themeColor="accent3" w:themeTint="BF"/>
        <w:insideH w:val="single" w:sz="8" w:space="0" w:color="4994B5" w:themeColor="accent3" w:themeTint="BF"/>
      </w:tblBorders>
    </w:tblPr>
    <w:tblStylePr w:type="firstRow">
      <w:pPr>
        <w:spacing w:before="0" w:after="0" w:line="240" w:lineRule="auto"/>
      </w:pPr>
      <w:rPr>
        <w:b/>
        <w:bCs/>
        <w:color w:val="FFFFFF" w:themeColor="background1"/>
      </w:rPr>
      <w:tblPr/>
      <w:tcPr>
        <w:tcBorders>
          <w:top w:val="single" w:sz="8" w:space="0" w:color="4994B5" w:themeColor="accent3" w:themeTint="BF"/>
          <w:left w:val="single" w:sz="8" w:space="0" w:color="4994B5" w:themeColor="accent3" w:themeTint="BF"/>
          <w:bottom w:val="single" w:sz="8" w:space="0" w:color="4994B5" w:themeColor="accent3" w:themeTint="BF"/>
          <w:right w:val="single" w:sz="8" w:space="0" w:color="4994B5" w:themeColor="accent3" w:themeTint="BF"/>
          <w:insideH w:val="nil"/>
          <w:insideV w:val="nil"/>
        </w:tcBorders>
        <w:shd w:val="clear" w:color="auto" w:fill="316379" w:themeFill="accent3"/>
      </w:tcPr>
    </w:tblStylePr>
    <w:tblStylePr w:type="lastRow">
      <w:pPr>
        <w:spacing w:before="0" w:after="0" w:line="240" w:lineRule="auto"/>
      </w:pPr>
      <w:rPr>
        <w:b/>
        <w:bCs/>
      </w:rPr>
      <w:tblPr/>
      <w:tcPr>
        <w:tcBorders>
          <w:top w:val="double" w:sz="6" w:space="0" w:color="4994B5" w:themeColor="accent3" w:themeTint="BF"/>
          <w:left w:val="single" w:sz="8" w:space="0" w:color="4994B5" w:themeColor="accent3" w:themeTint="BF"/>
          <w:bottom w:val="single" w:sz="8" w:space="0" w:color="4994B5" w:themeColor="accent3" w:themeTint="BF"/>
          <w:right w:val="single" w:sz="8" w:space="0" w:color="4994B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3DBE6" w:themeFill="accent3" w:themeFillTint="3F"/>
      </w:tcPr>
    </w:tblStylePr>
    <w:tblStylePr w:type="band1Horz">
      <w:tblPr/>
      <w:tcPr>
        <w:tcBorders>
          <w:insideH w:val="nil"/>
          <w:insideV w:val="nil"/>
        </w:tcBorders>
        <w:shd w:val="clear" w:color="auto" w:fill="C3DBE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63F94"/>
    <w:pPr>
      <w:spacing w:after="0" w:line="240" w:lineRule="auto"/>
    </w:pPr>
    <w:tblPr>
      <w:tblStyleRowBandSize w:val="1"/>
      <w:tblStyleColBandSize w:val="1"/>
      <w:tblBorders>
        <w:top w:val="single" w:sz="8" w:space="0" w:color="A2B9C3" w:themeColor="accent4" w:themeTint="BF"/>
        <w:left w:val="single" w:sz="8" w:space="0" w:color="A2B9C3" w:themeColor="accent4" w:themeTint="BF"/>
        <w:bottom w:val="single" w:sz="8" w:space="0" w:color="A2B9C3" w:themeColor="accent4" w:themeTint="BF"/>
        <w:right w:val="single" w:sz="8" w:space="0" w:color="A2B9C3" w:themeColor="accent4" w:themeTint="BF"/>
        <w:insideH w:val="single" w:sz="8" w:space="0" w:color="A2B9C3" w:themeColor="accent4" w:themeTint="BF"/>
      </w:tblBorders>
    </w:tblPr>
    <w:tblStylePr w:type="firstRow">
      <w:pPr>
        <w:spacing w:before="0" w:after="0" w:line="240" w:lineRule="auto"/>
      </w:pPr>
      <w:rPr>
        <w:b/>
        <w:bCs/>
        <w:color w:val="FFFFFF" w:themeColor="background1"/>
      </w:rPr>
      <w:tblPr/>
      <w:tcPr>
        <w:tcBorders>
          <w:top w:val="single" w:sz="8" w:space="0" w:color="A2B9C3" w:themeColor="accent4" w:themeTint="BF"/>
          <w:left w:val="single" w:sz="8" w:space="0" w:color="A2B9C3" w:themeColor="accent4" w:themeTint="BF"/>
          <w:bottom w:val="single" w:sz="8" w:space="0" w:color="A2B9C3" w:themeColor="accent4" w:themeTint="BF"/>
          <w:right w:val="single" w:sz="8" w:space="0" w:color="A2B9C3" w:themeColor="accent4" w:themeTint="BF"/>
          <w:insideH w:val="nil"/>
          <w:insideV w:val="nil"/>
        </w:tcBorders>
        <w:shd w:val="clear" w:color="auto" w:fill="84A2AF" w:themeFill="accent4"/>
      </w:tcPr>
    </w:tblStylePr>
    <w:tblStylePr w:type="lastRow">
      <w:pPr>
        <w:spacing w:before="0" w:after="0" w:line="240" w:lineRule="auto"/>
      </w:pPr>
      <w:rPr>
        <w:b/>
        <w:bCs/>
      </w:rPr>
      <w:tblPr/>
      <w:tcPr>
        <w:tcBorders>
          <w:top w:val="double" w:sz="6" w:space="0" w:color="A2B9C3" w:themeColor="accent4" w:themeTint="BF"/>
          <w:left w:val="single" w:sz="8" w:space="0" w:color="A2B9C3" w:themeColor="accent4" w:themeTint="BF"/>
          <w:bottom w:val="single" w:sz="8" w:space="0" w:color="A2B9C3" w:themeColor="accent4" w:themeTint="BF"/>
          <w:right w:val="single" w:sz="8" w:space="0" w:color="A2B9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0E7EB" w:themeFill="accent4" w:themeFillTint="3F"/>
      </w:tcPr>
    </w:tblStylePr>
    <w:tblStylePr w:type="band1Horz">
      <w:tblPr/>
      <w:tcPr>
        <w:tcBorders>
          <w:insideH w:val="nil"/>
          <w:insideV w:val="nil"/>
        </w:tcBorders>
        <w:shd w:val="clear" w:color="auto" w:fill="E0E7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63F94"/>
    <w:pPr>
      <w:spacing w:after="0" w:line="240" w:lineRule="auto"/>
    </w:pPr>
    <w:tblPr>
      <w:tblStyleRowBandSize w:val="1"/>
      <w:tblStyleColBandSize w:val="1"/>
      <w:tblBorders>
        <w:top w:val="single" w:sz="8" w:space="0" w:color="C1D0D6" w:themeColor="accent5" w:themeTint="BF"/>
        <w:left w:val="single" w:sz="8" w:space="0" w:color="C1D0D6" w:themeColor="accent5" w:themeTint="BF"/>
        <w:bottom w:val="single" w:sz="8" w:space="0" w:color="C1D0D6" w:themeColor="accent5" w:themeTint="BF"/>
        <w:right w:val="single" w:sz="8" w:space="0" w:color="C1D0D6" w:themeColor="accent5" w:themeTint="BF"/>
        <w:insideH w:val="single" w:sz="8" w:space="0" w:color="C1D0D6" w:themeColor="accent5" w:themeTint="BF"/>
      </w:tblBorders>
    </w:tblPr>
    <w:tblStylePr w:type="firstRow">
      <w:pPr>
        <w:spacing w:before="0" w:after="0" w:line="240" w:lineRule="auto"/>
      </w:pPr>
      <w:rPr>
        <w:b/>
        <w:bCs/>
        <w:color w:val="FFFFFF" w:themeColor="background1"/>
      </w:rPr>
      <w:tblPr/>
      <w:tcPr>
        <w:tcBorders>
          <w:top w:val="single" w:sz="8" w:space="0" w:color="C1D0D6" w:themeColor="accent5" w:themeTint="BF"/>
          <w:left w:val="single" w:sz="8" w:space="0" w:color="C1D0D6" w:themeColor="accent5" w:themeTint="BF"/>
          <w:bottom w:val="single" w:sz="8" w:space="0" w:color="C1D0D6" w:themeColor="accent5" w:themeTint="BF"/>
          <w:right w:val="single" w:sz="8" w:space="0" w:color="C1D0D6" w:themeColor="accent5" w:themeTint="BF"/>
          <w:insideH w:val="nil"/>
          <w:insideV w:val="nil"/>
        </w:tcBorders>
        <w:shd w:val="clear" w:color="auto" w:fill="ADC1C9" w:themeFill="accent5"/>
      </w:tcPr>
    </w:tblStylePr>
    <w:tblStylePr w:type="lastRow">
      <w:pPr>
        <w:spacing w:before="0" w:after="0" w:line="240" w:lineRule="auto"/>
      </w:pPr>
      <w:rPr>
        <w:b/>
        <w:bCs/>
      </w:rPr>
      <w:tblPr/>
      <w:tcPr>
        <w:tcBorders>
          <w:top w:val="double" w:sz="6" w:space="0" w:color="C1D0D6" w:themeColor="accent5" w:themeTint="BF"/>
          <w:left w:val="single" w:sz="8" w:space="0" w:color="C1D0D6" w:themeColor="accent5" w:themeTint="BF"/>
          <w:bottom w:val="single" w:sz="8" w:space="0" w:color="C1D0D6" w:themeColor="accent5" w:themeTint="BF"/>
          <w:right w:val="single" w:sz="8" w:space="0" w:color="C1D0D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EFF1" w:themeFill="accent5" w:themeFillTint="3F"/>
      </w:tcPr>
    </w:tblStylePr>
    <w:tblStylePr w:type="band1Horz">
      <w:tblPr/>
      <w:tcPr>
        <w:tcBorders>
          <w:insideH w:val="nil"/>
          <w:insideV w:val="nil"/>
        </w:tcBorders>
        <w:shd w:val="clear" w:color="auto" w:fill="EAEF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63F94"/>
    <w:pPr>
      <w:spacing w:after="0" w:line="240" w:lineRule="auto"/>
    </w:pPr>
    <w:tblPr>
      <w:tblStyleRowBandSize w:val="1"/>
      <w:tblStyleColBandSize w:val="1"/>
      <w:tblBorders>
        <w:top w:val="single" w:sz="8" w:space="0" w:color="FF7B40" w:themeColor="accent6" w:themeTint="BF"/>
        <w:left w:val="single" w:sz="8" w:space="0" w:color="FF7B40" w:themeColor="accent6" w:themeTint="BF"/>
        <w:bottom w:val="single" w:sz="8" w:space="0" w:color="FF7B40" w:themeColor="accent6" w:themeTint="BF"/>
        <w:right w:val="single" w:sz="8" w:space="0" w:color="FF7B40" w:themeColor="accent6" w:themeTint="BF"/>
        <w:insideH w:val="single" w:sz="8" w:space="0" w:color="FF7B40" w:themeColor="accent6" w:themeTint="BF"/>
      </w:tblBorders>
    </w:tblPr>
    <w:tblStylePr w:type="firstRow">
      <w:pPr>
        <w:spacing w:before="0" w:after="0" w:line="240" w:lineRule="auto"/>
      </w:pPr>
      <w:rPr>
        <w:b/>
        <w:bCs/>
        <w:color w:val="FFFFFF" w:themeColor="background1"/>
      </w:rPr>
      <w:tblPr/>
      <w:tcPr>
        <w:tcBorders>
          <w:top w:val="single" w:sz="8" w:space="0" w:color="FF7B40" w:themeColor="accent6" w:themeTint="BF"/>
          <w:left w:val="single" w:sz="8" w:space="0" w:color="FF7B40" w:themeColor="accent6" w:themeTint="BF"/>
          <w:bottom w:val="single" w:sz="8" w:space="0" w:color="FF7B40" w:themeColor="accent6" w:themeTint="BF"/>
          <w:right w:val="single" w:sz="8" w:space="0" w:color="FF7B40" w:themeColor="accent6" w:themeTint="BF"/>
          <w:insideH w:val="nil"/>
          <w:insideV w:val="nil"/>
        </w:tcBorders>
        <w:shd w:val="clear" w:color="auto" w:fill="FF5000" w:themeFill="accent6"/>
      </w:tcPr>
    </w:tblStylePr>
    <w:tblStylePr w:type="lastRow">
      <w:pPr>
        <w:spacing w:before="0" w:after="0" w:line="240" w:lineRule="auto"/>
      </w:pPr>
      <w:rPr>
        <w:b/>
        <w:bCs/>
      </w:rPr>
      <w:tblPr/>
      <w:tcPr>
        <w:tcBorders>
          <w:top w:val="double" w:sz="6" w:space="0" w:color="FF7B40" w:themeColor="accent6" w:themeTint="BF"/>
          <w:left w:val="single" w:sz="8" w:space="0" w:color="FF7B40" w:themeColor="accent6" w:themeTint="BF"/>
          <w:bottom w:val="single" w:sz="8" w:space="0" w:color="FF7B40" w:themeColor="accent6" w:themeTint="BF"/>
          <w:right w:val="single" w:sz="8" w:space="0" w:color="FF7B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D3C0" w:themeFill="accent6" w:themeFillTint="3F"/>
      </w:tcPr>
    </w:tblStylePr>
    <w:tblStylePr w:type="band1Horz">
      <w:tblPr/>
      <w:tcPr>
        <w:tcBorders>
          <w:insideH w:val="nil"/>
          <w:insideV w:val="nil"/>
        </w:tcBorders>
        <w:shd w:val="clear" w:color="auto" w:fill="FFD3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2D3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52D3F" w:themeFill="accent1"/>
      </w:tcPr>
    </w:tblStylePr>
    <w:tblStylePr w:type="lastCol">
      <w:rPr>
        <w:b/>
        <w:bCs/>
        <w:color w:val="FFFFFF" w:themeColor="background1"/>
      </w:rPr>
      <w:tblPr/>
      <w:tcPr>
        <w:tcBorders>
          <w:left w:val="nil"/>
          <w:right w:val="nil"/>
          <w:insideH w:val="nil"/>
          <w:insideV w:val="nil"/>
        </w:tcBorders>
        <w:shd w:val="clear" w:color="auto" w:fill="052D3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8445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8445E" w:themeFill="accent2"/>
      </w:tcPr>
    </w:tblStylePr>
    <w:tblStylePr w:type="lastCol">
      <w:rPr>
        <w:b/>
        <w:bCs/>
        <w:color w:val="FFFFFF" w:themeColor="background1"/>
      </w:rPr>
      <w:tblPr/>
      <w:tcPr>
        <w:tcBorders>
          <w:left w:val="nil"/>
          <w:right w:val="nil"/>
          <w:insideH w:val="nil"/>
          <w:insideV w:val="nil"/>
        </w:tcBorders>
        <w:shd w:val="clear" w:color="auto" w:fill="08445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1637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16379" w:themeFill="accent3"/>
      </w:tcPr>
    </w:tblStylePr>
    <w:tblStylePr w:type="lastCol">
      <w:rPr>
        <w:b/>
        <w:bCs/>
        <w:color w:val="FFFFFF" w:themeColor="background1"/>
      </w:rPr>
      <w:tblPr/>
      <w:tcPr>
        <w:tcBorders>
          <w:left w:val="nil"/>
          <w:right w:val="nil"/>
          <w:insideH w:val="nil"/>
          <w:insideV w:val="nil"/>
        </w:tcBorders>
        <w:shd w:val="clear" w:color="auto" w:fill="31637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2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A2AF" w:themeFill="accent4"/>
      </w:tcPr>
    </w:tblStylePr>
    <w:tblStylePr w:type="lastCol">
      <w:rPr>
        <w:b/>
        <w:bCs/>
        <w:color w:val="FFFFFF" w:themeColor="background1"/>
      </w:rPr>
      <w:tblPr/>
      <w:tcPr>
        <w:tcBorders>
          <w:left w:val="nil"/>
          <w:right w:val="nil"/>
          <w:insideH w:val="nil"/>
          <w:insideV w:val="nil"/>
        </w:tcBorders>
        <w:shd w:val="clear" w:color="auto" w:fill="84A2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C1C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C1C9" w:themeFill="accent5"/>
      </w:tcPr>
    </w:tblStylePr>
    <w:tblStylePr w:type="lastCol">
      <w:rPr>
        <w:b/>
        <w:bCs/>
        <w:color w:val="FFFFFF" w:themeColor="background1"/>
      </w:rPr>
      <w:tblPr/>
      <w:tcPr>
        <w:tcBorders>
          <w:left w:val="nil"/>
          <w:right w:val="nil"/>
          <w:insideH w:val="nil"/>
          <w:insideV w:val="nil"/>
        </w:tcBorders>
        <w:shd w:val="clear" w:color="auto" w:fill="ADC1C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63F9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000" w:themeFill="accent6"/>
      </w:tcPr>
    </w:tblStylePr>
    <w:tblStylePr w:type="lastCol">
      <w:rPr>
        <w:b/>
        <w:bCs/>
        <w:color w:val="FFFFFF" w:themeColor="background1"/>
      </w:rPr>
      <w:tblPr/>
      <w:tcPr>
        <w:tcBorders>
          <w:left w:val="nil"/>
          <w:right w:val="nil"/>
          <w:insideH w:val="nil"/>
          <w:insideV w:val="nil"/>
        </w:tcBorders>
        <w:shd w:val="clear" w:color="auto" w:fill="FF5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3F9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63F94"/>
    <w:rPr>
      <w:rFonts w:asciiTheme="majorHAnsi" w:eastAsiaTheme="majorEastAsia" w:hAnsiTheme="majorHAnsi" w:cstheme="majorBidi"/>
      <w:sz w:val="24"/>
      <w:szCs w:val="24"/>
      <w:shd w:val="pct20" w:color="auto" w:fill="auto"/>
    </w:rPr>
  </w:style>
  <w:style w:type="paragraph" w:styleId="NoSpacing">
    <w:name w:val="No Spacing"/>
    <w:uiPriority w:val="19"/>
    <w:semiHidden/>
    <w:qFormat/>
    <w:rsid w:val="00163F94"/>
    <w:pPr>
      <w:spacing w:after="0" w:line="240" w:lineRule="auto"/>
    </w:pPr>
    <w:rPr>
      <w:lang w:val="en-AU"/>
    </w:rPr>
  </w:style>
  <w:style w:type="paragraph" w:styleId="NormalWeb">
    <w:name w:val="Normal (Web)"/>
    <w:basedOn w:val="Normal"/>
    <w:uiPriority w:val="99"/>
    <w:unhideWhenUsed/>
    <w:rsid w:val="00163F94"/>
    <w:rPr>
      <w:rFonts w:ascii="Times New Roman" w:hAnsi="Times New Roman"/>
      <w:sz w:val="24"/>
      <w:szCs w:val="24"/>
    </w:rPr>
  </w:style>
  <w:style w:type="paragraph" w:styleId="NormalIndent">
    <w:name w:val="Normal Indent"/>
    <w:basedOn w:val="Normal"/>
    <w:uiPriority w:val="99"/>
    <w:semiHidden/>
    <w:unhideWhenUsed/>
    <w:rsid w:val="00163F94"/>
    <w:pPr>
      <w:ind w:left="720"/>
    </w:pPr>
  </w:style>
  <w:style w:type="paragraph" w:styleId="NoteHeading">
    <w:name w:val="Note Heading"/>
    <w:basedOn w:val="Normal"/>
    <w:next w:val="Normal"/>
    <w:link w:val="NoteHeadingChar"/>
    <w:uiPriority w:val="99"/>
    <w:semiHidden/>
    <w:unhideWhenUsed/>
    <w:rsid w:val="00163F94"/>
    <w:pPr>
      <w:spacing w:after="0"/>
    </w:pPr>
  </w:style>
  <w:style w:type="character" w:customStyle="1" w:styleId="NoteHeadingChar">
    <w:name w:val="Note Heading Char"/>
    <w:basedOn w:val="DefaultParagraphFont"/>
    <w:link w:val="NoteHeading"/>
    <w:uiPriority w:val="99"/>
    <w:semiHidden/>
    <w:rsid w:val="00163F94"/>
    <w:rPr>
      <w:rFonts w:ascii="Yu Gothic UI" w:eastAsia="Yu Gothic UI" w:hAnsi="Yu Gothic UI" w:cs="Times New Roman"/>
      <w:sz w:val="22"/>
    </w:rPr>
  </w:style>
  <w:style w:type="character" w:styleId="PageNumber">
    <w:name w:val="page number"/>
    <w:uiPriority w:val="19"/>
    <w:semiHidden/>
    <w:rsid w:val="00163F94"/>
    <w:rPr>
      <w:rFonts w:ascii="Arial" w:hAnsi="Arial"/>
      <w:sz w:val="18"/>
    </w:rPr>
  </w:style>
  <w:style w:type="character" w:styleId="PlaceholderText">
    <w:name w:val="Placeholder Text"/>
    <w:basedOn w:val="DefaultParagraphFont"/>
    <w:uiPriority w:val="99"/>
    <w:semiHidden/>
    <w:rsid w:val="00163F94"/>
    <w:rPr>
      <w:color w:val="808080"/>
    </w:rPr>
  </w:style>
  <w:style w:type="paragraph" w:styleId="PlainText">
    <w:name w:val="Plain Text"/>
    <w:basedOn w:val="Normal"/>
    <w:link w:val="PlainTextChar"/>
    <w:uiPriority w:val="99"/>
    <w:semiHidden/>
    <w:unhideWhenUsed/>
    <w:rsid w:val="00163F94"/>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163F94"/>
    <w:rPr>
      <w:rFonts w:ascii="Consolas" w:eastAsia="Yu Gothic UI" w:hAnsi="Consolas" w:cs="Consolas"/>
      <w:sz w:val="21"/>
      <w:szCs w:val="21"/>
    </w:rPr>
  </w:style>
  <w:style w:type="paragraph" w:styleId="Quote">
    <w:name w:val="Quote"/>
    <w:basedOn w:val="Normal"/>
    <w:next w:val="Normal"/>
    <w:link w:val="QuoteChar"/>
    <w:uiPriority w:val="29"/>
    <w:semiHidden/>
    <w:qFormat/>
    <w:rsid w:val="00163F94"/>
    <w:rPr>
      <w:i/>
      <w:iCs/>
      <w:color w:val="000000" w:themeColor="text1"/>
      <w:lang w:val="en-AU"/>
    </w:rPr>
  </w:style>
  <w:style w:type="character" w:customStyle="1" w:styleId="QuoteChar">
    <w:name w:val="Quote Char"/>
    <w:basedOn w:val="DefaultParagraphFont"/>
    <w:link w:val="Quote"/>
    <w:uiPriority w:val="29"/>
    <w:semiHidden/>
    <w:rsid w:val="00163F94"/>
    <w:rPr>
      <w:rFonts w:ascii="Yu Gothic UI" w:eastAsia="Yu Gothic UI" w:hAnsi="Yu Gothic UI" w:cs="Times New Roman"/>
      <w:i/>
      <w:iCs/>
      <w:color w:val="000000" w:themeColor="text1"/>
      <w:sz w:val="22"/>
      <w:lang w:val="en-AU"/>
    </w:rPr>
  </w:style>
  <w:style w:type="paragraph" w:styleId="Salutation">
    <w:name w:val="Salutation"/>
    <w:basedOn w:val="Normal"/>
    <w:next w:val="Normal"/>
    <w:link w:val="SalutationChar"/>
    <w:uiPriority w:val="99"/>
    <w:semiHidden/>
    <w:unhideWhenUsed/>
    <w:rsid w:val="00163F94"/>
  </w:style>
  <w:style w:type="character" w:customStyle="1" w:styleId="SalutationChar">
    <w:name w:val="Salutation Char"/>
    <w:basedOn w:val="DefaultParagraphFont"/>
    <w:link w:val="Salutation"/>
    <w:uiPriority w:val="99"/>
    <w:semiHidden/>
    <w:rsid w:val="00163F94"/>
    <w:rPr>
      <w:rFonts w:ascii="Yu Gothic UI" w:eastAsia="Yu Gothic UI" w:hAnsi="Yu Gothic UI" w:cs="Times New Roman"/>
      <w:sz w:val="22"/>
    </w:rPr>
  </w:style>
  <w:style w:type="paragraph" w:styleId="Signature">
    <w:name w:val="Signature"/>
    <w:basedOn w:val="Normal"/>
    <w:link w:val="SignatureChar"/>
    <w:uiPriority w:val="99"/>
    <w:semiHidden/>
    <w:unhideWhenUsed/>
    <w:rsid w:val="00163F94"/>
    <w:pPr>
      <w:spacing w:after="0"/>
      <w:ind w:left="4252"/>
    </w:pPr>
  </w:style>
  <w:style w:type="character" w:customStyle="1" w:styleId="SignatureChar">
    <w:name w:val="Signature Char"/>
    <w:basedOn w:val="DefaultParagraphFont"/>
    <w:link w:val="Signature"/>
    <w:uiPriority w:val="99"/>
    <w:semiHidden/>
    <w:rsid w:val="00163F94"/>
    <w:rPr>
      <w:rFonts w:ascii="Yu Gothic UI" w:eastAsia="Yu Gothic UI" w:hAnsi="Yu Gothic UI" w:cs="Times New Roman"/>
      <w:sz w:val="22"/>
    </w:rPr>
  </w:style>
  <w:style w:type="character" w:styleId="Strong">
    <w:name w:val="Strong"/>
    <w:basedOn w:val="DefaultParagraphFont"/>
    <w:uiPriority w:val="22"/>
    <w:semiHidden/>
    <w:qFormat/>
    <w:rsid w:val="00163F94"/>
    <w:rPr>
      <w:b/>
      <w:bCs/>
    </w:rPr>
  </w:style>
  <w:style w:type="character" w:styleId="SubtleEmphasis">
    <w:name w:val="Subtle Emphasis"/>
    <w:basedOn w:val="DefaultParagraphFont"/>
    <w:uiPriority w:val="19"/>
    <w:semiHidden/>
    <w:qFormat/>
    <w:rsid w:val="00163F94"/>
    <w:rPr>
      <w:i/>
      <w:iCs/>
      <w:color w:val="808080" w:themeColor="text1" w:themeTint="7F"/>
    </w:rPr>
  </w:style>
  <w:style w:type="character" w:styleId="SubtleReference">
    <w:name w:val="Subtle Reference"/>
    <w:basedOn w:val="DefaultParagraphFont"/>
    <w:uiPriority w:val="31"/>
    <w:semiHidden/>
    <w:qFormat/>
    <w:rsid w:val="00163F94"/>
    <w:rPr>
      <w:smallCaps/>
      <w:color w:val="08445E" w:themeColor="accent2"/>
      <w:u w:val="single"/>
    </w:rPr>
  </w:style>
  <w:style w:type="table" w:styleId="Table3Deffects1">
    <w:name w:val="Table 3D effects 1"/>
    <w:basedOn w:val="TableNormal"/>
    <w:uiPriority w:val="99"/>
    <w:semiHidden/>
    <w:unhideWhenUsed/>
    <w:rsid w:val="00163F94"/>
    <w:pPr>
      <w:spacing w:after="24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3F94"/>
    <w:pPr>
      <w:spacing w:after="24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3F94"/>
    <w:pPr>
      <w:spacing w:after="24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63F94"/>
    <w:pPr>
      <w:spacing w:after="0" w:line="240" w:lineRule="auto"/>
    </w:pPr>
    <w:rPr>
      <w:rFonts w:ascii="Times New Roman" w:eastAsia="Times New Roman" w:hAnsi="Times New Roman"/>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3F94"/>
    <w:pPr>
      <w:spacing w:after="24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3F94"/>
    <w:pPr>
      <w:spacing w:after="24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3F94"/>
    <w:pPr>
      <w:spacing w:after="24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3F94"/>
    <w:pPr>
      <w:spacing w:after="24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3F94"/>
    <w:pPr>
      <w:spacing w:after="24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3F94"/>
    <w:pPr>
      <w:spacing w:after="24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3F94"/>
    <w:pPr>
      <w:spacing w:after="24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3F94"/>
    <w:pPr>
      <w:spacing w:after="24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3F94"/>
    <w:pPr>
      <w:spacing w:after="24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3F94"/>
    <w:pPr>
      <w:spacing w:after="24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3F94"/>
    <w:pPr>
      <w:spacing w:after="24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3F94"/>
    <w:pPr>
      <w:spacing w:after="24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3F94"/>
    <w:pPr>
      <w:spacing w:after="24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3F94"/>
    <w:pPr>
      <w:spacing w:after="24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3F94"/>
    <w:pPr>
      <w:spacing w:after="24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3F94"/>
    <w:pPr>
      <w:spacing w:after="24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3F94"/>
    <w:pPr>
      <w:spacing w:after="24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3F94"/>
    <w:pPr>
      <w:spacing w:after="24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3F94"/>
    <w:pPr>
      <w:spacing w:after="24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3F94"/>
    <w:pPr>
      <w:spacing w:after="24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3F94"/>
    <w:pPr>
      <w:spacing w:after="24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3F94"/>
    <w:pPr>
      <w:spacing w:after="24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3F94"/>
    <w:pPr>
      <w:spacing w:after="24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3F94"/>
    <w:pPr>
      <w:spacing w:after="24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3F94"/>
    <w:pPr>
      <w:spacing w:after="24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3F94"/>
    <w:pPr>
      <w:spacing w:after="24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3F94"/>
    <w:pPr>
      <w:spacing w:after="24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3F94"/>
    <w:pPr>
      <w:spacing w:after="24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3F94"/>
    <w:pPr>
      <w:spacing w:after="24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3F94"/>
    <w:pPr>
      <w:spacing w:after="0"/>
      <w:ind w:left="220" w:hanging="220"/>
    </w:pPr>
  </w:style>
  <w:style w:type="paragraph" w:styleId="TableofFigures">
    <w:name w:val="table of figures"/>
    <w:basedOn w:val="Normal"/>
    <w:next w:val="Normal"/>
    <w:uiPriority w:val="99"/>
    <w:semiHidden/>
    <w:unhideWhenUsed/>
    <w:rsid w:val="00163F94"/>
    <w:pPr>
      <w:spacing w:after="0"/>
    </w:pPr>
  </w:style>
  <w:style w:type="table" w:styleId="TableProfessional">
    <w:name w:val="Table Professional"/>
    <w:basedOn w:val="TableNormal"/>
    <w:uiPriority w:val="99"/>
    <w:semiHidden/>
    <w:unhideWhenUsed/>
    <w:rsid w:val="00163F94"/>
    <w:pPr>
      <w:spacing w:after="24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3F94"/>
    <w:pPr>
      <w:spacing w:after="24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3F94"/>
    <w:pPr>
      <w:spacing w:after="24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3F94"/>
    <w:pPr>
      <w:spacing w:after="24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3F94"/>
    <w:pPr>
      <w:spacing w:after="24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3F94"/>
    <w:pPr>
      <w:spacing w:after="24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3F94"/>
    <w:pPr>
      <w:spacing w:after="24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63F94"/>
    <w:pPr>
      <w:spacing w:after="24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3F94"/>
    <w:pPr>
      <w:spacing w:after="24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3F94"/>
    <w:pPr>
      <w:spacing w:after="24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34597"/>
    <w:pPr>
      <w:spacing w:before="120"/>
    </w:pPr>
    <w:rPr>
      <w:rFonts w:eastAsiaTheme="majorEastAsia" w:cstheme="majorBidi"/>
      <w:b/>
      <w:bCs/>
      <w:sz w:val="24"/>
      <w:szCs w:val="24"/>
    </w:rPr>
  </w:style>
  <w:style w:type="paragraph" w:styleId="TOC4">
    <w:name w:val="toc 4"/>
    <w:basedOn w:val="Normal"/>
    <w:next w:val="Normal"/>
    <w:autoRedefine/>
    <w:uiPriority w:val="39"/>
    <w:semiHidden/>
    <w:rsid w:val="00334597"/>
    <w:pPr>
      <w:tabs>
        <w:tab w:val="right" w:pos="9402"/>
      </w:tabs>
      <w:spacing w:before="240" w:after="120"/>
      <w:ind w:left="658"/>
    </w:pPr>
    <w:rPr>
      <w:b/>
      <w:color w:val="052D3F"/>
      <w:sz w:val="24"/>
      <w:szCs w:val="18"/>
    </w:rPr>
  </w:style>
  <w:style w:type="paragraph" w:styleId="TOC8">
    <w:name w:val="toc 8"/>
    <w:basedOn w:val="Normal"/>
    <w:next w:val="Normal"/>
    <w:autoRedefine/>
    <w:uiPriority w:val="19"/>
    <w:semiHidden/>
    <w:rsid w:val="00163F94"/>
    <w:pPr>
      <w:ind w:left="1540"/>
    </w:pPr>
    <w:rPr>
      <w:sz w:val="18"/>
      <w:szCs w:val="18"/>
    </w:rPr>
  </w:style>
  <w:style w:type="paragraph" w:styleId="TOC9">
    <w:name w:val="toc 9"/>
    <w:basedOn w:val="Normal"/>
    <w:next w:val="Normal"/>
    <w:autoRedefine/>
    <w:uiPriority w:val="19"/>
    <w:semiHidden/>
    <w:rsid w:val="00163F94"/>
    <w:pPr>
      <w:ind w:left="1760"/>
    </w:pPr>
    <w:rPr>
      <w:sz w:val="18"/>
      <w:szCs w:val="18"/>
    </w:rPr>
  </w:style>
  <w:style w:type="paragraph" w:customStyle="1" w:styleId="NormalSmall">
    <w:name w:val="NormalSmall"/>
    <w:basedOn w:val="Normal"/>
    <w:next w:val="Normal"/>
    <w:uiPriority w:val="49"/>
    <w:semiHidden/>
    <w:qFormat/>
    <w:rsid w:val="00163F94"/>
    <w:pPr>
      <w:widowControl w:val="0"/>
      <w:spacing w:after="0"/>
    </w:pPr>
    <w:rPr>
      <w:sz w:val="6"/>
      <w:szCs w:val="6"/>
    </w:rPr>
  </w:style>
  <w:style w:type="paragraph" w:customStyle="1" w:styleId="AppendixFigureTitle">
    <w:name w:val="Appendix FigureTitle"/>
    <w:basedOn w:val="FigureTitle"/>
    <w:uiPriority w:val="20"/>
    <w:qFormat/>
    <w:rsid w:val="00163F94"/>
    <w:pPr>
      <w:numPr>
        <w:ilvl w:val="3"/>
        <w:numId w:val="24"/>
      </w:numPr>
    </w:pPr>
  </w:style>
  <w:style w:type="paragraph" w:customStyle="1" w:styleId="AppendixHeading5">
    <w:name w:val="Appendix Heading 5"/>
    <w:basedOn w:val="Normal"/>
    <w:uiPriority w:val="18"/>
    <w:qFormat/>
    <w:rsid w:val="00163F94"/>
    <w:pPr>
      <w:numPr>
        <w:ilvl w:val="1"/>
        <w:numId w:val="24"/>
      </w:numPr>
    </w:pPr>
  </w:style>
  <w:style w:type="paragraph" w:customStyle="1" w:styleId="AppendixTableTitle">
    <w:name w:val="Appendix TableTitle"/>
    <w:basedOn w:val="TableTitle"/>
    <w:uiPriority w:val="19"/>
    <w:qFormat/>
    <w:rsid w:val="00B974B3"/>
    <w:pPr>
      <w:numPr>
        <w:ilvl w:val="2"/>
        <w:numId w:val="24"/>
      </w:numPr>
    </w:pPr>
  </w:style>
  <w:style w:type="paragraph" w:customStyle="1" w:styleId="AppendixTitle">
    <w:name w:val="Appendix Title"/>
    <w:next w:val="AppendixHeading5"/>
    <w:uiPriority w:val="17"/>
    <w:qFormat/>
    <w:rsid w:val="004F2ABA"/>
    <w:pPr>
      <w:pageBreakBefore/>
      <w:numPr>
        <w:numId w:val="24"/>
      </w:numPr>
      <w:spacing w:after="240" w:line="240" w:lineRule="auto"/>
      <w:outlineLvl w:val="0"/>
    </w:pPr>
    <w:rPr>
      <w:rFonts w:eastAsia="Times New Roman"/>
      <w:b/>
      <w:noProof/>
      <w:color w:val="052D3F"/>
      <w:sz w:val="44"/>
    </w:rPr>
  </w:style>
  <w:style w:type="paragraph" w:customStyle="1" w:styleId="Bullets">
    <w:name w:val="Bullets"/>
    <w:basedOn w:val="BodyText0"/>
    <w:uiPriority w:val="49"/>
    <w:semiHidden/>
    <w:rsid w:val="00334597"/>
    <w:pPr>
      <w:numPr>
        <w:numId w:val="1"/>
      </w:numPr>
      <w:tabs>
        <w:tab w:val="left" w:pos="648"/>
      </w:tabs>
      <w:spacing w:after="360"/>
    </w:pPr>
    <w:rPr>
      <w:rFonts w:cs="Times New Roman"/>
      <w:b w:val="0"/>
      <w:bCs w:val="0"/>
      <w:sz w:val="24"/>
    </w:rPr>
  </w:style>
  <w:style w:type="paragraph" w:customStyle="1" w:styleId="TableText">
    <w:name w:val="Table Text"/>
    <w:link w:val="TableTextCharChar"/>
    <w:uiPriority w:val="12"/>
    <w:rsid w:val="004F2ABA"/>
    <w:pPr>
      <w:spacing w:after="0" w:line="240" w:lineRule="auto"/>
      <w:ind w:left="85" w:right="85"/>
    </w:pPr>
    <w:rPr>
      <w:rFonts w:eastAsia="Times New Roman"/>
    </w:rPr>
  </w:style>
  <w:style w:type="character" w:customStyle="1" w:styleId="TableTextCharChar">
    <w:name w:val="Table Text Char Char"/>
    <w:link w:val="TableText"/>
    <w:uiPriority w:val="12"/>
    <w:rsid w:val="004F2ABA"/>
    <w:rPr>
      <w:rFonts w:eastAsia="Times New Roman" w:cs="Times New Roman"/>
    </w:rPr>
  </w:style>
  <w:style w:type="paragraph" w:customStyle="1" w:styleId="Default">
    <w:name w:val="Default"/>
    <w:rsid w:val="00334597"/>
    <w:pPr>
      <w:autoSpaceDE w:val="0"/>
      <w:autoSpaceDN w:val="0"/>
      <w:adjustRightInd w:val="0"/>
      <w:spacing w:after="0" w:line="240" w:lineRule="auto"/>
    </w:pPr>
    <w:rPr>
      <w:rFonts w:eastAsia="Times New Roman" w:cs="Calibri"/>
      <w:color w:val="000000"/>
      <w:sz w:val="24"/>
      <w:szCs w:val="24"/>
      <w:lang w:eastAsia="en-GB"/>
    </w:rPr>
  </w:style>
  <w:style w:type="paragraph" w:customStyle="1" w:styleId="DocSubTitle">
    <w:name w:val="DocSubTitle"/>
    <w:basedOn w:val="Normal"/>
    <w:uiPriority w:val="49"/>
    <w:semiHidden/>
    <w:qFormat/>
    <w:rsid w:val="00163F94"/>
    <w:pPr>
      <w:spacing w:after="0"/>
      <w:jc w:val="left"/>
    </w:pPr>
    <w:rPr>
      <w:sz w:val="50"/>
    </w:rPr>
  </w:style>
  <w:style w:type="paragraph" w:customStyle="1" w:styleId="DocTitle">
    <w:name w:val="DocTitle"/>
    <w:basedOn w:val="Normal"/>
    <w:uiPriority w:val="49"/>
    <w:semiHidden/>
    <w:qFormat/>
    <w:rsid w:val="00163F94"/>
    <w:pPr>
      <w:spacing w:before="720" w:after="0"/>
      <w:jc w:val="left"/>
    </w:pPr>
    <w:rPr>
      <w:sz w:val="56"/>
    </w:rPr>
  </w:style>
  <w:style w:type="paragraph" w:customStyle="1" w:styleId="ExecSumm1">
    <w:name w:val="Exec Summ 1"/>
    <w:basedOn w:val="Heading1"/>
    <w:next w:val="ExecSummPara"/>
    <w:uiPriority w:val="16"/>
    <w:rsid w:val="00163F94"/>
    <w:pPr>
      <w:numPr>
        <w:numId w:val="0"/>
      </w:numPr>
      <w:ind w:left="680"/>
    </w:pPr>
  </w:style>
  <w:style w:type="paragraph" w:customStyle="1" w:styleId="ExecSumm2">
    <w:name w:val="Exec Summ 2"/>
    <w:basedOn w:val="Heading2"/>
    <w:next w:val="ExecSummPara"/>
    <w:uiPriority w:val="16"/>
    <w:rsid w:val="00163F94"/>
    <w:pPr>
      <w:ind w:left="680"/>
    </w:pPr>
    <w:rPr>
      <w:bCs w:val="0"/>
      <w:iCs/>
    </w:rPr>
  </w:style>
  <w:style w:type="paragraph" w:customStyle="1" w:styleId="Execsummbullet">
    <w:name w:val="Exec summ bullet"/>
    <w:basedOn w:val="Normal"/>
    <w:uiPriority w:val="19"/>
    <w:semiHidden/>
    <w:rsid w:val="00163F94"/>
    <w:pPr>
      <w:numPr>
        <w:ilvl w:val="1"/>
        <w:numId w:val="18"/>
      </w:numPr>
      <w:spacing w:line="280" w:lineRule="atLeast"/>
    </w:pPr>
  </w:style>
  <w:style w:type="paragraph" w:customStyle="1" w:styleId="ExecSummPara">
    <w:name w:val="Exec Summ Para"/>
    <w:basedOn w:val="Normal"/>
    <w:uiPriority w:val="19"/>
    <w:semiHidden/>
    <w:rsid w:val="00163F94"/>
    <w:pPr>
      <w:numPr>
        <w:numId w:val="18"/>
      </w:numPr>
    </w:pPr>
  </w:style>
  <w:style w:type="paragraph" w:customStyle="1" w:styleId="FooterInfo">
    <w:name w:val="FooterInfo"/>
    <w:basedOn w:val="Footer"/>
    <w:uiPriority w:val="19"/>
    <w:qFormat/>
    <w:rsid w:val="00163F94"/>
    <w:pPr>
      <w:spacing w:line="240" w:lineRule="auto"/>
      <w:jc w:val="left"/>
    </w:pPr>
    <w:rPr>
      <w:sz w:val="18"/>
    </w:rPr>
  </w:style>
  <w:style w:type="numbering" w:customStyle="1" w:styleId="NumbLstExecSumm">
    <w:name w:val="NumbLstExecSumm"/>
    <w:uiPriority w:val="99"/>
    <w:rsid w:val="00163F94"/>
    <w:pPr>
      <w:numPr>
        <w:numId w:val="15"/>
      </w:numPr>
    </w:pPr>
  </w:style>
  <w:style w:type="paragraph" w:customStyle="1" w:styleId="Heading1NoToc">
    <w:name w:val="Heading 1NoToc"/>
    <w:basedOn w:val="Normal"/>
    <w:next w:val="Normal"/>
    <w:uiPriority w:val="49"/>
    <w:semiHidden/>
    <w:qFormat/>
    <w:rsid w:val="00163F94"/>
    <w:pPr>
      <w:keepNext/>
      <w:spacing w:before="360"/>
      <w:ind w:left="680"/>
      <w:jc w:val="left"/>
      <w:outlineLvl w:val="0"/>
    </w:pPr>
    <w:rPr>
      <w:b/>
      <w:color w:val="052D3F"/>
      <w:sz w:val="44"/>
      <w:szCs w:val="44"/>
    </w:rPr>
  </w:style>
  <w:style w:type="paragraph" w:customStyle="1" w:styleId="Heading5NoNumb">
    <w:name w:val="Heading 5NoNumb"/>
    <w:basedOn w:val="Heading5"/>
    <w:uiPriority w:val="20"/>
    <w:qFormat/>
    <w:rsid w:val="00D5516B"/>
    <w:pPr>
      <w:tabs>
        <w:tab w:val="num" w:pos="680"/>
      </w:tabs>
      <w:ind w:left="680"/>
    </w:pPr>
  </w:style>
  <w:style w:type="paragraph" w:customStyle="1" w:styleId="KeyMessage">
    <w:name w:val="KeyMessage"/>
    <w:basedOn w:val="Normal"/>
    <w:link w:val="KeyMessageChar"/>
    <w:uiPriority w:val="10"/>
    <w:qFormat/>
    <w:rsid w:val="00163F94"/>
    <w:pPr>
      <w:framePr w:w="4479" w:wrap="around" w:vAnchor="text" w:hAnchor="text" w:x="4934" w:y="1"/>
      <w:pBdr>
        <w:top w:val="single" w:sz="4" w:space="5" w:color="394A58"/>
        <w:bottom w:val="single" w:sz="4" w:space="5" w:color="394A58"/>
      </w:pBdr>
      <w:spacing w:before="120" w:after="120"/>
      <w:ind w:left="227"/>
      <w:jc w:val="left"/>
    </w:pPr>
    <w:rPr>
      <w:color w:val="FF5000"/>
      <w:sz w:val="28"/>
    </w:rPr>
  </w:style>
  <w:style w:type="paragraph" w:customStyle="1" w:styleId="KeyMessBullet1">
    <w:name w:val="KeyMessBullet1"/>
    <w:basedOn w:val="KeyMessage"/>
    <w:uiPriority w:val="10"/>
    <w:qFormat/>
    <w:rsid w:val="00623653"/>
    <w:pPr>
      <w:framePr w:wrap="around"/>
      <w:numPr>
        <w:numId w:val="21"/>
      </w:numPr>
    </w:pPr>
  </w:style>
  <w:style w:type="paragraph" w:customStyle="1" w:styleId="Level1subhead">
    <w:name w:val="Level 1 subhead"/>
    <w:basedOn w:val="Normal"/>
    <w:next w:val="Heading2"/>
    <w:uiPriority w:val="19"/>
    <w:semiHidden/>
    <w:rsid w:val="00163F94"/>
    <w:pPr>
      <w:widowControl w:val="0"/>
      <w:spacing w:after="360"/>
    </w:pPr>
    <w:rPr>
      <w:b/>
    </w:rPr>
  </w:style>
  <w:style w:type="numbering" w:customStyle="1" w:styleId="NumbLstAppendix">
    <w:name w:val="NumbLstAppendix"/>
    <w:uiPriority w:val="99"/>
    <w:rsid w:val="00163F94"/>
    <w:pPr>
      <w:numPr>
        <w:numId w:val="23"/>
      </w:numPr>
    </w:pPr>
  </w:style>
  <w:style w:type="numbering" w:customStyle="1" w:styleId="NumbLstBullets">
    <w:name w:val="NumbLstBullets"/>
    <w:uiPriority w:val="99"/>
    <w:rsid w:val="00163F94"/>
    <w:pPr>
      <w:numPr>
        <w:numId w:val="14"/>
      </w:numPr>
    </w:pPr>
  </w:style>
  <w:style w:type="numbering" w:customStyle="1" w:styleId="NumbLstKeyMess">
    <w:name w:val="NumbLstKeyMess"/>
    <w:uiPriority w:val="99"/>
    <w:rsid w:val="00623653"/>
    <w:pPr>
      <w:numPr>
        <w:numId w:val="16"/>
      </w:numPr>
    </w:pPr>
  </w:style>
  <w:style w:type="paragraph" w:customStyle="1" w:styleId="Subheading">
    <w:name w:val="Sub heading"/>
    <w:next w:val="Heading2"/>
    <w:uiPriority w:val="19"/>
    <w:semiHidden/>
    <w:rsid w:val="00163F94"/>
    <w:pPr>
      <w:keepNext/>
      <w:overflowPunct w:val="0"/>
      <w:autoSpaceDE w:val="0"/>
      <w:autoSpaceDN w:val="0"/>
      <w:adjustRightInd w:val="0"/>
      <w:spacing w:before="120" w:after="120" w:line="360" w:lineRule="auto"/>
      <w:ind w:left="720"/>
      <w:jc w:val="both"/>
      <w:textAlignment w:val="baseline"/>
    </w:pPr>
    <w:rPr>
      <w:rFonts w:eastAsia="Times New Roman"/>
      <w:b/>
    </w:rPr>
  </w:style>
  <w:style w:type="paragraph" w:customStyle="1" w:styleId="SummaryText">
    <w:name w:val="SummaryText"/>
    <w:basedOn w:val="Normal"/>
    <w:link w:val="SummaryTextChar"/>
    <w:uiPriority w:val="8"/>
    <w:qFormat/>
    <w:rsid w:val="00B974B3"/>
    <w:pPr>
      <w:pBdr>
        <w:top w:val="single" w:sz="4" w:space="6" w:color="FF5000"/>
        <w:left w:val="single" w:sz="2" w:space="2" w:color="E7E6E6"/>
        <w:bottom w:val="single" w:sz="4" w:space="6" w:color="FF5000"/>
        <w:right w:val="single" w:sz="2" w:space="2" w:color="E7E6E6"/>
      </w:pBdr>
      <w:shd w:val="clear" w:color="auto" w:fill="C9CED3"/>
      <w:spacing w:before="120" w:after="120"/>
      <w:ind w:left="737" w:right="57"/>
    </w:pPr>
  </w:style>
  <w:style w:type="paragraph" w:customStyle="1" w:styleId="SummaryBullet1">
    <w:name w:val="SummaryBullet 1"/>
    <w:basedOn w:val="SummaryText"/>
    <w:link w:val="SummaryBullet1Char"/>
    <w:uiPriority w:val="9"/>
    <w:qFormat/>
    <w:rsid w:val="00623653"/>
    <w:pPr>
      <w:numPr>
        <w:ilvl w:val="1"/>
        <w:numId w:val="21"/>
      </w:numPr>
    </w:pPr>
  </w:style>
  <w:style w:type="paragraph" w:customStyle="1" w:styleId="TableHeading">
    <w:name w:val="Table Heading"/>
    <w:basedOn w:val="TableText"/>
    <w:uiPriority w:val="12"/>
    <w:qFormat/>
    <w:rsid w:val="00163F94"/>
    <w:pPr>
      <w:jc w:val="center"/>
    </w:pPr>
  </w:style>
  <w:style w:type="paragraph" w:customStyle="1" w:styleId="TableorGraphic">
    <w:name w:val="Table or Graphic"/>
    <w:basedOn w:val="Normal"/>
    <w:uiPriority w:val="19"/>
    <w:semiHidden/>
    <w:rsid w:val="00163F94"/>
    <w:pPr>
      <w:keepNext/>
      <w:spacing w:before="60" w:after="60"/>
    </w:pPr>
    <w:rPr>
      <w:sz w:val="18"/>
    </w:rPr>
  </w:style>
  <w:style w:type="paragraph" w:customStyle="1" w:styleId="TableSource">
    <w:name w:val="Table Source"/>
    <w:basedOn w:val="FigureSource"/>
    <w:uiPriority w:val="13"/>
    <w:qFormat/>
    <w:rsid w:val="00163F94"/>
    <w:pPr>
      <w:spacing w:after="240"/>
      <w:ind w:left="765"/>
    </w:pPr>
    <w:rPr>
      <w:sz w:val="18"/>
    </w:rPr>
  </w:style>
  <w:style w:type="paragraph" w:customStyle="1" w:styleId="TableTitleInTable">
    <w:name w:val="Table TitleInTable"/>
    <w:basedOn w:val="TableTitle"/>
    <w:uiPriority w:val="19"/>
    <w:qFormat/>
    <w:rsid w:val="00163F94"/>
    <w:pPr>
      <w:pBdr>
        <w:top w:val="none" w:sz="0" w:space="0" w:color="auto"/>
      </w:pBdr>
      <w:shd w:val="clear" w:color="auto" w:fill="auto"/>
      <w:spacing w:before="40" w:after="40"/>
      <w:ind w:left="57" w:right="0"/>
    </w:pPr>
  </w:style>
  <w:style w:type="paragraph" w:customStyle="1" w:styleId="TextBox">
    <w:name w:val="Text Box"/>
    <w:basedOn w:val="Normal"/>
    <w:uiPriority w:val="19"/>
    <w:semiHidden/>
    <w:rsid w:val="00163F94"/>
    <w:pPr>
      <w:pBdr>
        <w:top w:val="single" w:sz="8" w:space="1" w:color="FF9900"/>
        <w:left w:val="single" w:sz="8" w:space="0" w:color="FF9900"/>
        <w:bottom w:val="single" w:sz="8" w:space="1" w:color="FF9900"/>
        <w:right w:val="single" w:sz="8" w:space="4" w:color="FF9900"/>
      </w:pBdr>
      <w:shd w:val="clear" w:color="auto" w:fill="E6E6E6"/>
      <w:ind w:left="755"/>
    </w:pPr>
    <w:rPr>
      <w:bCs/>
    </w:rPr>
  </w:style>
  <w:style w:type="table" w:customStyle="1" w:styleId="TableGridLight1">
    <w:name w:val="Table Grid Light1"/>
    <w:basedOn w:val="TableNormal"/>
    <w:uiPriority w:val="40"/>
    <w:rsid w:val="00163F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Date">
    <w:name w:val="DocDate"/>
    <w:basedOn w:val="DocTitle"/>
    <w:uiPriority w:val="49"/>
    <w:semiHidden/>
    <w:qFormat/>
    <w:rsid w:val="00163F94"/>
    <w:rPr>
      <w:noProof/>
      <w:sz w:val="24"/>
      <w:lang w:eastAsia="en-GB"/>
    </w:rPr>
  </w:style>
  <w:style w:type="paragraph" w:customStyle="1" w:styleId="DocWeb">
    <w:name w:val="DocWeb"/>
    <w:basedOn w:val="DocDate"/>
    <w:uiPriority w:val="49"/>
    <w:semiHidden/>
    <w:qFormat/>
    <w:rsid w:val="00163F94"/>
    <w:pPr>
      <w:spacing w:before="0"/>
    </w:pPr>
    <w:rPr>
      <w:color w:val="FF5000"/>
    </w:rPr>
  </w:style>
  <w:style w:type="paragraph" w:customStyle="1" w:styleId="TableNumber">
    <w:name w:val="Table Number"/>
    <w:basedOn w:val="TableText"/>
    <w:uiPriority w:val="13"/>
    <w:qFormat/>
    <w:rsid w:val="00163F94"/>
    <w:pPr>
      <w:ind w:right="284"/>
      <w:jc w:val="right"/>
    </w:pPr>
  </w:style>
  <w:style w:type="paragraph" w:customStyle="1" w:styleId="TableNumberNeg">
    <w:name w:val="Table Number Neg"/>
    <w:basedOn w:val="TableNumber"/>
    <w:uiPriority w:val="13"/>
    <w:qFormat/>
    <w:rsid w:val="00163F94"/>
    <w:pPr>
      <w:ind w:right="215"/>
    </w:pPr>
  </w:style>
  <w:style w:type="paragraph" w:customStyle="1" w:styleId="Source">
    <w:name w:val="Source"/>
    <w:basedOn w:val="Normal"/>
    <w:uiPriority w:val="13"/>
    <w:qFormat/>
    <w:rsid w:val="00163F94"/>
    <w:pPr>
      <w:spacing w:before="60" w:after="120"/>
      <w:ind w:left="57"/>
      <w:jc w:val="left"/>
    </w:pPr>
    <w:rPr>
      <w:rFonts w:cs="Arial"/>
      <w:color w:val="000000"/>
      <w:sz w:val="16"/>
      <w:szCs w:val="16"/>
    </w:rPr>
  </w:style>
  <w:style w:type="paragraph" w:customStyle="1" w:styleId="AppendixTableTitleInTable">
    <w:name w:val="Appendix TableTitleInTable"/>
    <w:basedOn w:val="AppendixTableTitle"/>
    <w:uiPriority w:val="21"/>
    <w:qFormat/>
    <w:rsid w:val="00163F94"/>
    <w:pPr>
      <w:numPr>
        <w:ilvl w:val="0"/>
        <w:numId w:val="0"/>
      </w:numPr>
      <w:pBdr>
        <w:top w:val="none" w:sz="0" w:space="0" w:color="auto"/>
      </w:pBdr>
      <w:shd w:val="clear" w:color="auto" w:fill="auto"/>
      <w:spacing w:before="40" w:after="40"/>
      <w:ind w:left="57" w:right="0"/>
    </w:pPr>
  </w:style>
  <w:style w:type="paragraph" w:customStyle="1" w:styleId="DocBPText">
    <w:name w:val="DocBPText"/>
    <w:basedOn w:val="Normal"/>
    <w:uiPriority w:val="21"/>
    <w:semiHidden/>
    <w:qFormat/>
    <w:rsid w:val="00AF3A27"/>
    <w:pPr>
      <w:tabs>
        <w:tab w:val="right" w:pos="9401"/>
      </w:tabs>
      <w:spacing w:after="120"/>
      <w:ind w:left="567" w:right="567"/>
      <w:contextualSpacing/>
      <w:jc w:val="center"/>
    </w:pPr>
    <w:rPr>
      <w:color w:val="000000"/>
      <w:sz w:val="28"/>
      <w:lang w:eastAsia="en-GB"/>
    </w:rPr>
  </w:style>
  <w:style w:type="paragraph" w:customStyle="1" w:styleId="DocBPTitle">
    <w:name w:val="DocBPTitle"/>
    <w:basedOn w:val="DocBPText"/>
    <w:uiPriority w:val="21"/>
    <w:semiHidden/>
    <w:qFormat/>
    <w:rsid w:val="00163F94"/>
    <w:pPr>
      <w:spacing w:after="0"/>
    </w:pPr>
    <w:rPr>
      <w:color w:val="FF5000"/>
      <w:sz w:val="36"/>
    </w:rPr>
  </w:style>
  <w:style w:type="paragraph" w:customStyle="1" w:styleId="FooterAppPgNo">
    <w:name w:val="FooterAppPgNo"/>
    <w:basedOn w:val="Footer"/>
    <w:uiPriority w:val="29"/>
    <w:semiHidden/>
    <w:qFormat/>
    <w:rsid w:val="00163F94"/>
    <w:pPr>
      <w:ind w:left="-1418"/>
    </w:pPr>
    <w:rPr>
      <w:noProof/>
      <w:lang w:eastAsia="en-GB"/>
    </w:rPr>
  </w:style>
  <w:style w:type="paragraph" w:customStyle="1" w:styleId="FooterAppPgNoLand">
    <w:name w:val="FooterAppPgNoLand"/>
    <w:basedOn w:val="FooterAppPgNo"/>
    <w:uiPriority w:val="29"/>
    <w:semiHidden/>
    <w:qFormat/>
    <w:rsid w:val="00163F94"/>
    <w:pPr>
      <w:ind w:left="-1928"/>
    </w:pPr>
  </w:style>
  <w:style w:type="paragraph" w:customStyle="1" w:styleId="TableBullet">
    <w:name w:val="Table Bullet"/>
    <w:basedOn w:val="TableText"/>
    <w:uiPriority w:val="13"/>
    <w:qFormat/>
    <w:rsid w:val="009C00B0"/>
    <w:pPr>
      <w:numPr>
        <w:numId w:val="20"/>
      </w:numPr>
      <w:ind w:right="17"/>
    </w:pPr>
  </w:style>
  <w:style w:type="numbering" w:customStyle="1" w:styleId="NumbLstTable">
    <w:name w:val="NumbLstTable"/>
    <w:uiPriority w:val="99"/>
    <w:rsid w:val="00163F94"/>
    <w:pPr>
      <w:numPr>
        <w:numId w:val="19"/>
      </w:numPr>
    </w:pPr>
  </w:style>
  <w:style w:type="paragraph" w:customStyle="1" w:styleId="ExecSummTableTitle">
    <w:name w:val="Exec Summ Table Title"/>
    <w:basedOn w:val="TableTitle"/>
    <w:next w:val="ExecSummPara"/>
    <w:uiPriority w:val="19"/>
    <w:qFormat/>
    <w:rsid w:val="00B974B3"/>
    <w:pPr>
      <w:numPr>
        <w:ilvl w:val="2"/>
        <w:numId w:val="18"/>
      </w:numPr>
    </w:pPr>
  </w:style>
  <w:style w:type="paragraph" w:customStyle="1" w:styleId="NormalFigures">
    <w:name w:val="NormalFigures"/>
    <w:basedOn w:val="NormalNoSpace"/>
    <w:uiPriority w:val="19"/>
    <w:qFormat/>
    <w:rsid w:val="00163F94"/>
    <w:pPr>
      <w:keepNext/>
      <w:spacing w:before="120" w:after="120"/>
    </w:pPr>
    <w:rPr>
      <w:lang w:eastAsia="en-GB"/>
    </w:rPr>
  </w:style>
  <w:style w:type="paragraph" w:customStyle="1" w:styleId="DocSubTitleWhite">
    <w:name w:val="DocSubTitleWhite"/>
    <w:basedOn w:val="DocSubTitle"/>
    <w:uiPriority w:val="49"/>
    <w:semiHidden/>
    <w:qFormat/>
    <w:rsid w:val="00163F94"/>
    <w:pPr>
      <w:jc w:val="right"/>
    </w:pPr>
    <w:rPr>
      <w:color w:val="000000"/>
      <w:sz w:val="40"/>
      <w:lang w:eastAsia="en-GB"/>
    </w:rPr>
  </w:style>
  <w:style w:type="paragraph" w:customStyle="1" w:styleId="DocTitleWhite">
    <w:name w:val="DocTitleWhite"/>
    <w:basedOn w:val="DocTitle"/>
    <w:uiPriority w:val="49"/>
    <w:semiHidden/>
    <w:qFormat/>
    <w:rsid w:val="00163F94"/>
    <w:pPr>
      <w:spacing w:before="0"/>
    </w:pPr>
    <w:rPr>
      <w:color w:val="000000"/>
      <w:sz w:val="50"/>
      <w:lang w:eastAsia="en-GB"/>
    </w:rPr>
  </w:style>
  <w:style w:type="paragraph" w:customStyle="1" w:styleId="TitlePageTitle">
    <w:name w:val="TitlePageTitle"/>
    <w:basedOn w:val="DocTitle"/>
    <w:uiPriority w:val="19"/>
    <w:qFormat/>
    <w:rsid w:val="00163F94"/>
    <w:pPr>
      <w:spacing w:line="216" w:lineRule="auto"/>
      <w:ind w:left="6804"/>
    </w:pPr>
    <w:rPr>
      <w:color w:val="FFFFFF" w:themeColor="background1"/>
      <w:sz w:val="48"/>
      <w:lang w:eastAsia="en-GB"/>
    </w:rPr>
  </w:style>
  <w:style w:type="paragraph" w:customStyle="1" w:styleId="KeyMessageLand">
    <w:name w:val="KeyMessageLand"/>
    <w:basedOn w:val="KeyMessage"/>
    <w:link w:val="KeyMessageLandChar"/>
    <w:uiPriority w:val="19"/>
    <w:qFormat/>
    <w:rsid w:val="000A09FF"/>
    <w:pPr>
      <w:framePr w:w="7173" w:wrap="around" w:x="7174"/>
    </w:pPr>
  </w:style>
  <w:style w:type="paragraph" w:customStyle="1" w:styleId="KeyMessBullet1Land">
    <w:name w:val="KeyMessBullet1Land"/>
    <w:basedOn w:val="KeyMessageLand"/>
    <w:link w:val="KeyMessBullet1LandChar"/>
    <w:uiPriority w:val="19"/>
    <w:qFormat/>
    <w:rsid w:val="00623653"/>
    <w:pPr>
      <w:framePr w:wrap="around"/>
      <w:numPr>
        <w:ilvl w:val="2"/>
        <w:numId w:val="21"/>
      </w:numPr>
    </w:pPr>
  </w:style>
  <w:style w:type="paragraph" w:styleId="TOCHeading">
    <w:name w:val="TOC Heading"/>
    <w:basedOn w:val="Heading1"/>
    <w:next w:val="Normal"/>
    <w:uiPriority w:val="39"/>
    <w:semiHidden/>
    <w:unhideWhenUsed/>
    <w:rsid w:val="00334597"/>
    <w:pPr>
      <w:keepLines/>
      <w:numPr>
        <w:numId w:val="0"/>
      </w:numPr>
      <w:spacing w:before="240" w:after="0"/>
      <w:jc w:val="both"/>
      <w:outlineLvl w:val="9"/>
    </w:pPr>
    <w:rPr>
      <w:rFonts w:eastAsiaTheme="majorEastAsia" w:cstheme="majorBidi"/>
      <w:b w:val="0"/>
      <w:color w:val="03212E" w:themeColor="accent1" w:themeShade="BF"/>
      <w:sz w:val="32"/>
      <w:szCs w:val="32"/>
    </w:rPr>
  </w:style>
  <w:style w:type="character" w:styleId="UnresolvedMention">
    <w:name w:val="Unresolved Mention"/>
    <w:basedOn w:val="DefaultParagraphFont"/>
    <w:uiPriority w:val="99"/>
    <w:semiHidden/>
    <w:unhideWhenUsed/>
    <w:rsid w:val="000E38CD"/>
    <w:rPr>
      <w:color w:val="605E5C"/>
      <w:shd w:val="clear" w:color="auto" w:fill="E1DFDD"/>
    </w:rPr>
  </w:style>
  <w:style w:type="paragraph" w:customStyle="1" w:styleId="Style1">
    <w:name w:val="Style1"/>
    <w:basedOn w:val="SummaryBullet1"/>
    <w:link w:val="Style1Char"/>
    <w:uiPriority w:val="19"/>
    <w:qFormat/>
    <w:rsid w:val="009034C0"/>
    <w:pPr>
      <w:numPr>
        <w:ilvl w:val="0"/>
        <w:numId w:val="26"/>
      </w:numPr>
    </w:pPr>
    <w:rPr>
      <w:color w:val="052D3F"/>
    </w:rPr>
  </w:style>
  <w:style w:type="character" w:customStyle="1" w:styleId="SummaryTextChar">
    <w:name w:val="SummaryText Char"/>
    <w:basedOn w:val="DefaultParagraphFont"/>
    <w:link w:val="SummaryText"/>
    <w:uiPriority w:val="8"/>
    <w:rsid w:val="009034C0"/>
    <w:rPr>
      <w:shd w:val="clear" w:color="auto" w:fill="C9CED3"/>
    </w:rPr>
  </w:style>
  <w:style w:type="character" w:customStyle="1" w:styleId="SummaryBullet1Char">
    <w:name w:val="SummaryBullet 1 Char"/>
    <w:basedOn w:val="SummaryTextChar"/>
    <w:link w:val="SummaryBullet1"/>
    <w:uiPriority w:val="9"/>
    <w:rsid w:val="009034C0"/>
    <w:rPr>
      <w:shd w:val="clear" w:color="auto" w:fill="C9CED3"/>
    </w:rPr>
  </w:style>
  <w:style w:type="character" w:customStyle="1" w:styleId="Style1Char">
    <w:name w:val="Style1 Char"/>
    <w:basedOn w:val="SummaryBullet1Char"/>
    <w:link w:val="Style1"/>
    <w:uiPriority w:val="19"/>
    <w:rsid w:val="009034C0"/>
    <w:rPr>
      <w:color w:val="052D3F"/>
      <w:shd w:val="clear" w:color="auto" w:fill="C9CED3"/>
    </w:rPr>
  </w:style>
  <w:style w:type="paragraph" w:customStyle="1" w:styleId="viymain">
    <w:name w:val="viy main"/>
    <w:basedOn w:val="Heading5"/>
    <w:link w:val="viymainChar"/>
    <w:uiPriority w:val="19"/>
    <w:qFormat/>
    <w:rsid w:val="007B541E"/>
    <w:pPr>
      <w:ind w:left="680" w:right="198"/>
    </w:pPr>
    <w:rPr>
      <w:rFonts w:ascii="Source Sans Pro" w:hAnsi="Source Sans Pro"/>
      <w:color w:val="052D3F"/>
    </w:rPr>
  </w:style>
  <w:style w:type="paragraph" w:customStyle="1" w:styleId="viybullet1">
    <w:name w:val="viy bullet 1"/>
    <w:basedOn w:val="Heading5"/>
    <w:link w:val="viybullet1Char"/>
    <w:uiPriority w:val="19"/>
    <w:qFormat/>
    <w:rsid w:val="007B541E"/>
    <w:pPr>
      <w:numPr>
        <w:numId w:val="25"/>
      </w:numPr>
      <w:ind w:right="198"/>
    </w:pPr>
    <w:rPr>
      <w:rFonts w:ascii="Source Sans Pro" w:hAnsi="Source Sans Pro"/>
      <w:color w:val="052D3F"/>
    </w:rPr>
  </w:style>
  <w:style w:type="character" w:customStyle="1" w:styleId="viymainChar">
    <w:name w:val="viy main Char"/>
    <w:basedOn w:val="Heading5Char"/>
    <w:link w:val="viymain"/>
    <w:uiPriority w:val="19"/>
    <w:rsid w:val="007B541E"/>
    <w:rPr>
      <w:rFonts w:ascii="Source Sans Pro" w:eastAsia="Yu Gothic UI" w:hAnsi="Source Sans Pro"/>
      <w:color w:val="052D3F"/>
      <w:szCs w:val="44"/>
    </w:rPr>
  </w:style>
  <w:style w:type="paragraph" w:customStyle="1" w:styleId="viyheading2">
    <w:name w:val="viy heading 2"/>
    <w:basedOn w:val="Heading3"/>
    <w:link w:val="viyheading2Char"/>
    <w:uiPriority w:val="19"/>
    <w:qFormat/>
    <w:rsid w:val="007B541E"/>
    <w:pPr>
      <w:numPr>
        <w:numId w:val="0"/>
      </w:numPr>
      <w:ind w:left="680"/>
    </w:pPr>
    <w:rPr>
      <w:rFonts w:ascii="Source Sans Pro" w:hAnsi="Source Sans Pro"/>
      <w:sz w:val="30"/>
      <w:szCs w:val="30"/>
    </w:rPr>
  </w:style>
  <w:style w:type="character" w:customStyle="1" w:styleId="viybullet1Char">
    <w:name w:val="viy bullet 1 Char"/>
    <w:basedOn w:val="Heading5Char"/>
    <w:link w:val="viybullet1"/>
    <w:uiPriority w:val="19"/>
    <w:rsid w:val="007B541E"/>
    <w:rPr>
      <w:rFonts w:ascii="Source Sans Pro" w:eastAsia="Yu Gothic UI" w:hAnsi="Source Sans Pro"/>
      <w:color w:val="052D3F"/>
      <w:szCs w:val="44"/>
    </w:rPr>
  </w:style>
  <w:style w:type="paragraph" w:customStyle="1" w:styleId="VIYHEADING3">
    <w:name w:val="VIY HEADING 3"/>
    <w:basedOn w:val="Heading5"/>
    <w:link w:val="VIYHEADING3Char"/>
    <w:uiPriority w:val="19"/>
    <w:qFormat/>
    <w:rsid w:val="007B541E"/>
    <w:pPr>
      <w:ind w:left="680" w:right="198"/>
    </w:pPr>
    <w:rPr>
      <w:rFonts w:ascii="Source Sans Pro" w:hAnsi="Source Sans Pro"/>
      <w:b/>
      <w:color w:val="052D3F"/>
    </w:rPr>
  </w:style>
  <w:style w:type="character" w:customStyle="1" w:styleId="viyheading2Char">
    <w:name w:val="viy heading 2 Char"/>
    <w:basedOn w:val="Heading3Char"/>
    <w:link w:val="viyheading2"/>
    <w:uiPriority w:val="19"/>
    <w:rsid w:val="007B541E"/>
    <w:rPr>
      <w:rFonts w:ascii="Source Sans Pro" w:eastAsia="Yu Gothic UI" w:hAnsi="Source Sans Pro"/>
      <w:b/>
      <w:iCs/>
      <w:color w:val="BF3B00" w:themeColor="accent6" w:themeShade="BF"/>
      <w:sz w:val="30"/>
      <w:szCs w:val="30"/>
    </w:rPr>
  </w:style>
  <w:style w:type="character" w:customStyle="1" w:styleId="VIYHEADING3Char">
    <w:name w:val="VIY HEADING 3 Char"/>
    <w:basedOn w:val="Heading5Char"/>
    <w:link w:val="VIYHEADING3"/>
    <w:uiPriority w:val="19"/>
    <w:rsid w:val="007B541E"/>
    <w:rPr>
      <w:rFonts w:ascii="Source Sans Pro" w:eastAsia="Yu Gothic UI" w:hAnsi="Source Sans Pro"/>
      <w:b/>
      <w:color w:val="052D3F"/>
      <w:szCs w:val="44"/>
    </w:rPr>
  </w:style>
  <w:style w:type="paragraph" w:styleId="Revision">
    <w:name w:val="Revision"/>
    <w:hidden/>
    <w:uiPriority w:val="99"/>
    <w:semiHidden/>
    <w:rsid w:val="00F56BE2"/>
    <w:pPr>
      <w:spacing w:after="0" w:line="240" w:lineRule="auto"/>
    </w:pPr>
  </w:style>
  <w:style w:type="paragraph" w:customStyle="1" w:styleId="Pa31">
    <w:name w:val="Pa3_1"/>
    <w:basedOn w:val="Default"/>
    <w:next w:val="Default"/>
    <w:uiPriority w:val="99"/>
    <w:rsid w:val="00593EC2"/>
    <w:pPr>
      <w:spacing w:line="241" w:lineRule="atLeast"/>
    </w:pPr>
    <w:rPr>
      <w:rFonts w:ascii="HelveticaNeueLT Pro 55 Roman" w:eastAsiaTheme="minorHAnsi" w:hAnsi="HelveticaNeueLT Pro 55 Roman" w:cs="Times New Roman"/>
      <w:color w:val="auto"/>
      <w:lang w:val="en-US" w:eastAsia="en-US"/>
    </w:rPr>
  </w:style>
  <w:style w:type="paragraph" w:customStyle="1" w:styleId="RDParagraph">
    <w:name w:val="RD Paragraph"/>
    <w:basedOn w:val="Heading5"/>
    <w:link w:val="RDParagraphChar"/>
    <w:uiPriority w:val="19"/>
    <w:qFormat/>
    <w:rsid w:val="00D85459"/>
    <w:pPr>
      <w:ind w:left="680" w:right="198"/>
    </w:pPr>
    <w:rPr>
      <w:rFonts w:ascii="Source Sans Pro" w:hAnsi="Source Sans Pro"/>
      <w:bCs/>
      <w:color w:val="052D3F"/>
    </w:rPr>
  </w:style>
  <w:style w:type="paragraph" w:customStyle="1" w:styleId="RDIntroText">
    <w:name w:val="RD Intro Text"/>
    <w:basedOn w:val="Heading3"/>
    <w:link w:val="RDIntroTextChar"/>
    <w:uiPriority w:val="19"/>
    <w:qFormat/>
    <w:rsid w:val="00E40EF7"/>
    <w:pPr>
      <w:numPr>
        <w:numId w:val="0"/>
      </w:numPr>
      <w:ind w:left="680" w:right="198"/>
      <w:jc w:val="both"/>
    </w:pPr>
    <w:rPr>
      <w:rFonts w:ascii="Source Sans Pro" w:hAnsi="Source Sans Pro"/>
      <w:color w:val="F19387"/>
    </w:rPr>
  </w:style>
  <w:style w:type="character" w:customStyle="1" w:styleId="RDParagraphChar">
    <w:name w:val="RD Paragraph Char"/>
    <w:basedOn w:val="Heading5Char"/>
    <w:link w:val="RDParagraph"/>
    <w:uiPriority w:val="19"/>
    <w:rsid w:val="00D85459"/>
    <w:rPr>
      <w:rFonts w:ascii="Source Sans Pro" w:eastAsia="Yu Gothic UI" w:hAnsi="Source Sans Pro"/>
      <w:bCs/>
      <w:color w:val="052D3F"/>
      <w:szCs w:val="44"/>
    </w:rPr>
  </w:style>
  <w:style w:type="paragraph" w:customStyle="1" w:styleId="RDTier2">
    <w:name w:val="RD Tier 2"/>
    <w:basedOn w:val="Heading5"/>
    <w:link w:val="RDTier2Char"/>
    <w:uiPriority w:val="19"/>
    <w:qFormat/>
    <w:rsid w:val="00E40EF7"/>
    <w:pPr>
      <w:ind w:left="680" w:right="198"/>
    </w:pPr>
    <w:rPr>
      <w:rFonts w:ascii="Source Sans Pro" w:hAnsi="Source Sans Pro"/>
      <w:b/>
      <w:color w:val="052D3F"/>
      <w:sz w:val="30"/>
      <w:szCs w:val="30"/>
    </w:rPr>
  </w:style>
  <w:style w:type="character" w:customStyle="1" w:styleId="RDIntroTextChar">
    <w:name w:val="RD Intro Text Char"/>
    <w:basedOn w:val="Heading3Char"/>
    <w:link w:val="RDIntroText"/>
    <w:uiPriority w:val="19"/>
    <w:rsid w:val="00E40EF7"/>
    <w:rPr>
      <w:rFonts w:ascii="Source Sans Pro" w:eastAsia="Yu Gothic UI" w:hAnsi="Source Sans Pro"/>
      <w:b/>
      <w:iCs/>
      <w:color w:val="F19387"/>
      <w:sz w:val="28"/>
      <w:szCs w:val="28"/>
    </w:rPr>
  </w:style>
  <w:style w:type="paragraph" w:customStyle="1" w:styleId="RDBullet">
    <w:name w:val="RD Bullet"/>
    <w:basedOn w:val="Heading4"/>
    <w:link w:val="RDBulletChar"/>
    <w:uiPriority w:val="19"/>
    <w:qFormat/>
    <w:rsid w:val="00F774E0"/>
    <w:pPr>
      <w:keepNext w:val="0"/>
      <w:numPr>
        <w:numId w:val="22"/>
      </w:numPr>
      <w:spacing w:before="120" w:after="120"/>
      <w:ind w:right="198"/>
      <w:jc w:val="both"/>
    </w:pPr>
    <w:rPr>
      <w:rFonts w:ascii="Source Sans Pro" w:hAnsi="Source Sans Pro"/>
      <w:b w:val="0"/>
      <w:color w:val="052D3F" w:themeColor="accent1"/>
    </w:rPr>
  </w:style>
  <w:style w:type="character" w:customStyle="1" w:styleId="RDTier2Char">
    <w:name w:val="RD Tier 2 Char"/>
    <w:basedOn w:val="Heading5Char"/>
    <w:link w:val="RDTier2"/>
    <w:uiPriority w:val="19"/>
    <w:rsid w:val="00E40EF7"/>
    <w:rPr>
      <w:rFonts w:ascii="Source Sans Pro" w:eastAsia="Yu Gothic UI" w:hAnsi="Source Sans Pro"/>
      <w:b/>
      <w:color w:val="052D3F"/>
      <w:sz w:val="30"/>
      <w:szCs w:val="30"/>
    </w:rPr>
  </w:style>
  <w:style w:type="paragraph" w:customStyle="1" w:styleId="RDnumber">
    <w:name w:val="RD number"/>
    <w:basedOn w:val="RDBullet"/>
    <w:link w:val="RDnumberChar"/>
    <w:uiPriority w:val="19"/>
    <w:qFormat/>
    <w:rsid w:val="005F375B"/>
    <w:pPr>
      <w:numPr>
        <w:numId w:val="27"/>
      </w:numPr>
    </w:pPr>
    <w:rPr>
      <w:rFonts w:eastAsia="Times New Roman" w:cs="Arial"/>
      <w:b/>
      <w:color w:val="273641" w:themeColor="text2"/>
      <w:kern w:val="24"/>
      <w:szCs w:val="24"/>
    </w:rPr>
  </w:style>
  <w:style w:type="character" w:customStyle="1" w:styleId="RDBulletChar">
    <w:name w:val="RD Bullet Char"/>
    <w:basedOn w:val="Heading4Char"/>
    <w:link w:val="RDBullet"/>
    <w:uiPriority w:val="19"/>
    <w:rsid w:val="00F774E0"/>
    <w:rPr>
      <w:rFonts w:ascii="Source Sans Pro" w:eastAsia="Yu Gothic UI" w:hAnsi="Source Sans Pro"/>
      <w:b w:val="0"/>
      <w:bCs/>
      <w:iCs/>
      <w:color w:val="052D3F" w:themeColor="accent1"/>
      <w:szCs w:val="28"/>
    </w:rPr>
  </w:style>
  <w:style w:type="paragraph" w:customStyle="1" w:styleId="RDBoxnumber">
    <w:name w:val="RD Box number"/>
    <w:basedOn w:val="KeyMessBullet1Land"/>
    <w:link w:val="RDBoxnumberChar"/>
    <w:uiPriority w:val="19"/>
    <w:qFormat/>
    <w:rsid w:val="00EF3412"/>
    <w:pPr>
      <w:framePr w:w="3849" w:wrap="around" w:vAnchor="margin" w:hAnchor="page" w:x="6531"/>
      <w:numPr>
        <w:ilvl w:val="0"/>
        <w:numId w:val="29"/>
      </w:numPr>
    </w:pPr>
    <w:rPr>
      <w:color w:val="FFB999" w:themeColor="accent6" w:themeTint="66"/>
      <w:sz w:val="24"/>
    </w:rPr>
  </w:style>
  <w:style w:type="character" w:customStyle="1" w:styleId="RDnumberChar">
    <w:name w:val="RD number Char"/>
    <w:basedOn w:val="RDBulletChar"/>
    <w:link w:val="RDnumber"/>
    <w:uiPriority w:val="19"/>
    <w:rsid w:val="005F375B"/>
    <w:rPr>
      <w:rFonts w:ascii="Source Sans Pro" w:eastAsia="Times New Roman" w:hAnsi="Source Sans Pro" w:cs="Arial"/>
      <w:b/>
      <w:bCs/>
      <w:iCs/>
      <w:color w:val="273641" w:themeColor="text2"/>
      <w:kern w:val="24"/>
      <w:szCs w:val="24"/>
    </w:rPr>
  </w:style>
  <w:style w:type="table" w:styleId="GridTable2-Accent1">
    <w:name w:val="Grid Table 2 Accent 1"/>
    <w:basedOn w:val="TableNormal"/>
    <w:uiPriority w:val="47"/>
    <w:rsid w:val="00D879C7"/>
    <w:pPr>
      <w:spacing w:after="0" w:line="240" w:lineRule="auto"/>
    </w:pPr>
    <w:tblPr>
      <w:tblStyleRowBandSize w:val="1"/>
      <w:tblStyleColBandSize w:val="1"/>
      <w:tblBorders>
        <w:top w:val="single" w:sz="2" w:space="0" w:color="12A1E2" w:themeColor="accent1" w:themeTint="99"/>
        <w:bottom w:val="single" w:sz="2" w:space="0" w:color="12A1E2" w:themeColor="accent1" w:themeTint="99"/>
        <w:insideH w:val="single" w:sz="2" w:space="0" w:color="12A1E2" w:themeColor="accent1" w:themeTint="99"/>
        <w:insideV w:val="single" w:sz="2" w:space="0" w:color="12A1E2" w:themeColor="accent1" w:themeTint="99"/>
      </w:tblBorders>
    </w:tblPr>
    <w:tblStylePr w:type="firstRow">
      <w:rPr>
        <w:b/>
        <w:bCs/>
      </w:rPr>
      <w:tblPr/>
      <w:tcPr>
        <w:tcBorders>
          <w:top w:val="nil"/>
          <w:bottom w:val="single" w:sz="12" w:space="0" w:color="12A1E2" w:themeColor="accent1" w:themeTint="99"/>
          <w:insideH w:val="nil"/>
          <w:insideV w:val="nil"/>
        </w:tcBorders>
        <w:shd w:val="clear" w:color="auto" w:fill="FFFFFF" w:themeFill="background1"/>
      </w:tcPr>
    </w:tblStylePr>
    <w:tblStylePr w:type="lastRow">
      <w:rPr>
        <w:b/>
        <w:bCs/>
      </w:rPr>
      <w:tblPr/>
      <w:tcPr>
        <w:tcBorders>
          <w:top w:val="double" w:sz="2" w:space="0" w:color="12A1E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E0F8" w:themeFill="accent1" w:themeFillTint="33"/>
      </w:tcPr>
    </w:tblStylePr>
    <w:tblStylePr w:type="band1Horz">
      <w:tblPr/>
      <w:tcPr>
        <w:shd w:val="clear" w:color="auto" w:fill="ACE0F8" w:themeFill="accent1" w:themeFillTint="33"/>
      </w:tcPr>
    </w:tblStylePr>
  </w:style>
  <w:style w:type="character" w:customStyle="1" w:styleId="KeyMessageChar">
    <w:name w:val="KeyMessage Char"/>
    <w:basedOn w:val="DefaultParagraphFont"/>
    <w:link w:val="KeyMessage"/>
    <w:uiPriority w:val="10"/>
    <w:rsid w:val="008041F6"/>
    <w:rPr>
      <w:color w:val="FF5000"/>
      <w:sz w:val="28"/>
    </w:rPr>
  </w:style>
  <w:style w:type="character" w:customStyle="1" w:styleId="KeyMessageLandChar">
    <w:name w:val="KeyMessageLand Char"/>
    <w:basedOn w:val="KeyMessageChar"/>
    <w:link w:val="KeyMessageLand"/>
    <w:uiPriority w:val="19"/>
    <w:rsid w:val="008041F6"/>
    <w:rPr>
      <w:color w:val="FF5000"/>
      <w:sz w:val="28"/>
    </w:rPr>
  </w:style>
  <w:style w:type="character" w:customStyle="1" w:styleId="KeyMessBullet1LandChar">
    <w:name w:val="KeyMessBullet1Land Char"/>
    <w:basedOn w:val="KeyMessageLandChar"/>
    <w:link w:val="KeyMessBullet1Land"/>
    <w:uiPriority w:val="19"/>
    <w:rsid w:val="008041F6"/>
    <w:rPr>
      <w:color w:val="FF5000"/>
      <w:sz w:val="28"/>
    </w:rPr>
  </w:style>
  <w:style w:type="character" w:customStyle="1" w:styleId="RDBoxnumberChar">
    <w:name w:val="RD Box number Char"/>
    <w:basedOn w:val="KeyMessBullet1LandChar"/>
    <w:link w:val="RDBoxnumber"/>
    <w:uiPriority w:val="19"/>
    <w:rsid w:val="00EF3412"/>
    <w:rPr>
      <w:color w:val="FFB999" w:themeColor="accent6" w:themeTint="66"/>
      <w:sz w:val="24"/>
    </w:rPr>
  </w:style>
  <w:style w:type="table" w:styleId="PlainTable4">
    <w:name w:val="Plain Table 4"/>
    <w:basedOn w:val="TableNormal"/>
    <w:uiPriority w:val="44"/>
    <w:rsid w:val="000A31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DTier3">
    <w:name w:val="RD Tier 3"/>
    <w:basedOn w:val="Heading5"/>
    <w:link w:val="RDTier3Char"/>
    <w:uiPriority w:val="19"/>
    <w:qFormat/>
    <w:rsid w:val="00825EF8"/>
    <w:pPr>
      <w:ind w:firstLine="680"/>
    </w:pPr>
    <w:rPr>
      <w:b/>
      <w:bCs/>
      <w:color w:val="052D3F" w:themeColor="accent1"/>
      <w:sz w:val="24"/>
    </w:rPr>
  </w:style>
  <w:style w:type="character" w:customStyle="1" w:styleId="RDTier3Char">
    <w:name w:val="RD Tier 3 Char"/>
    <w:basedOn w:val="Heading5Char"/>
    <w:link w:val="RDTier3"/>
    <w:uiPriority w:val="19"/>
    <w:rsid w:val="00825EF8"/>
    <w:rPr>
      <w:rFonts w:eastAsia="Yu Gothic UI"/>
      <w:b/>
      <w:bCs/>
      <w:color w:val="052D3F" w:themeColor="accent1"/>
      <w:sz w:val="24"/>
      <w:szCs w:val="44"/>
    </w:rPr>
  </w:style>
  <w:style w:type="paragraph" w:customStyle="1" w:styleId="RDNumbers">
    <w:name w:val="RD Numbers"/>
    <w:basedOn w:val="RDBullet"/>
    <w:link w:val="RDNumbersChar"/>
    <w:uiPriority w:val="19"/>
    <w:qFormat/>
    <w:rsid w:val="00A16B61"/>
    <w:pPr>
      <w:numPr>
        <w:numId w:val="35"/>
      </w:numPr>
    </w:pPr>
  </w:style>
  <w:style w:type="paragraph" w:customStyle="1" w:styleId="RDbullettier2">
    <w:name w:val="RD bullet tier 2"/>
    <w:basedOn w:val="RDBullet"/>
    <w:link w:val="RDbullettier2Char"/>
    <w:uiPriority w:val="19"/>
    <w:qFormat/>
    <w:rsid w:val="009A5AFA"/>
    <w:pPr>
      <w:numPr>
        <w:ilvl w:val="1"/>
      </w:numPr>
      <w:spacing w:before="80" w:after="80"/>
    </w:pPr>
  </w:style>
  <w:style w:type="character" w:customStyle="1" w:styleId="RDNumbersChar">
    <w:name w:val="RD Numbers Char"/>
    <w:basedOn w:val="RDBulletChar"/>
    <w:link w:val="RDNumbers"/>
    <w:uiPriority w:val="19"/>
    <w:rsid w:val="00A16B61"/>
    <w:rPr>
      <w:rFonts w:ascii="Source Sans Pro" w:eastAsia="Yu Gothic UI" w:hAnsi="Source Sans Pro"/>
      <w:b w:val="0"/>
      <w:bCs/>
      <w:iCs/>
      <w:color w:val="052D3F" w:themeColor="accent1"/>
      <w:szCs w:val="28"/>
    </w:rPr>
  </w:style>
  <w:style w:type="character" w:customStyle="1" w:styleId="RDbullettier2Char">
    <w:name w:val="RD bullet tier 2 Char"/>
    <w:basedOn w:val="RDBulletChar"/>
    <w:link w:val="RDbullettier2"/>
    <w:uiPriority w:val="19"/>
    <w:rsid w:val="009A5AFA"/>
    <w:rPr>
      <w:rFonts w:ascii="Source Sans Pro" w:eastAsia="Yu Gothic UI" w:hAnsi="Source Sans Pro"/>
      <w:b w:val="0"/>
      <w:bCs/>
      <w:iCs/>
      <w:color w:val="052D3F" w:themeColor="accen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5504">
      <w:bodyDiv w:val="1"/>
      <w:marLeft w:val="0"/>
      <w:marRight w:val="0"/>
      <w:marTop w:val="0"/>
      <w:marBottom w:val="0"/>
      <w:divBdr>
        <w:top w:val="none" w:sz="0" w:space="0" w:color="auto"/>
        <w:left w:val="none" w:sz="0" w:space="0" w:color="auto"/>
        <w:bottom w:val="none" w:sz="0" w:space="0" w:color="auto"/>
        <w:right w:val="none" w:sz="0" w:space="0" w:color="auto"/>
      </w:divBdr>
    </w:div>
    <w:div w:id="28385739">
      <w:bodyDiv w:val="1"/>
      <w:marLeft w:val="0"/>
      <w:marRight w:val="0"/>
      <w:marTop w:val="0"/>
      <w:marBottom w:val="0"/>
      <w:divBdr>
        <w:top w:val="none" w:sz="0" w:space="0" w:color="auto"/>
        <w:left w:val="none" w:sz="0" w:space="0" w:color="auto"/>
        <w:bottom w:val="none" w:sz="0" w:space="0" w:color="auto"/>
        <w:right w:val="none" w:sz="0" w:space="0" w:color="auto"/>
      </w:divBdr>
      <w:divsChild>
        <w:div w:id="351997950">
          <w:marLeft w:val="360"/>
          <w:marRight w:val="0"/>
          <w:marTop w:val="60"/>
          <w:marBottom w:val="60"/>
          <w:divBdr>
            <w:top w:val="none" w:sz="0" w:space="0" w:color="auto"/>
            <w:left w:val="none" w:sz="0" w:space="0" w:color="auto"/>
            <w:bottom w:val="none" w:sz="0" w:space="0" w:color="auto"/>
            <w:right w:val="none" w:sz="0" w:space="0" w:color="auto"/>
          </w:divBdr>
        </w:div>
        <w:div w:id="1385105056">
          <w:marLeft w:val="360"/>
          <w:marRight w:val="0"/>
          <w:marTop w:val="60"/>
          <w:marBottom w:val="60"/>
          <w:divBdr>
            <w:top w:val="none" w:sz="0" w:space="0" w:color="auto"/>
            <w:left w:val="none" w:sz="0" w:space="0" w:color="auto"/>
            <w:bottom w:val="none" w:sz="0" w:space="0" w:color="auto"/>
            <w:right w:val="none" w:sz="0" w:space="0" w:color="auto"/>
          </w:divBdr>
        </w:div>
        <w:div w:id="1943107035">
          <w:marLeft w:val="360"/>
          <w:marRight w:val="0"/>
          <w:marTop w:val="60"/>
          <w:marBottom w:val="60"/>
          <w:divBdr>
            <w:top w:val="none" w:sz="0" w:space="0" w:color="auto"/>
            <w:left w:val="none" w:sz="0" w:space="0" w:color="auto"/>
            <w:bottom w:val="none" w:sz="0" w:space="0" w:color="auto"/>
            <w:right w:val="none" w:sz="0" w:space="0" w:color="auto"/>
          </w:divBdr>
        </w:div>
      </w:divsChild>
    </w:div>
    <w:div w:id="37048283">
      <w:bodyDiv w:val="1"/>
      <w:marLeft w:val="0"/>
      <w:marRight w:val="0"/>
      <w:marTop w:val="0"/>
      <w:marBottom w:val="0"/>
      <w:divBdr>
        <w:top w:val="none" w:sz="0" w:space="0" w:color="auto"/>
        <w:left w:val="none" w:sz="0" w:space="0" w:color="auto"/>
        <w:bottom w:val="none" w:sz="0" w:space="0" w:color="auto"/>
        <w:right w:val="none" w:sz="0" w:space="0" w:color="auto"/>
      </w:divBdr>
    </w:div>
    <w:div w:id="77874125">
      <w:bodyDiv w:val="1"/>
      <w:marLeft w:val="0"/>
      <w:marRight w:val="0"/>
      <w:marTop w:val="0"/>
      <w:marBottom w:val="0"/>
      <w:divBdr>
        <w:top w:val="none" w:sz="0" w:space="0" w:color="auto"/>
        <w:left w:val="none" w:sz="0" w:space="0" w:color="auto"/>
        <w:bottom w:val="none" w:sz="0" w:space="0" w:color="auto"/>
        <w:right w:val="none" w:sz="0" w:space="0" w:color="auto"/>
      </w:divBdr>
      <w:divsChild>
        <w:div w:id="32775847">
          <w:marLeft w:val="274"/>
          <w:marRight w:val="0"/>
          <w:marTop w:val="60"/>
          <w:marBottom w:val="60"/>
          <w:divBdr>
            <w:top w:val="none" w:sz="0" w:space="0" w:color="auto"/>
            <w:left w:val="none" w:sz="0" w:space="0" w:color="auto"/>
            <w:bottom w:val="none" w:sz="0" w:space="0" w:color="auto"/>
            <w:right w:val="none" w:sz="0" w:space="0" w:color="auto"/>
          </w:divBdr>
        </w:div>
        <w:div w:id="319844130">
          <w:marLeft w:val="274"/>
          <w:marRight w:val="0"/>
          <w:marTop w:val="60"/>
          <w:marBottom w:val="60"/>
          <w:divBdr>
            <w:top w:val="none" w:sz="0" w:space="0" w:color="auto"/>
            <w:left w:val="none" w:sz="0" w:space="0" w:color="auto"/>
            <w:bottom w:val="none" w:sz="0" w:space="0" w:color="auto"/>
            <w:right w:val="none" w:sz="0" w:space="0" w:color="auto"/>
          </w:divBdr>
        </w:div>
      </w:divsChild>
    </w:div>
    <w:div w:id="80638848">
      <w:bodyDiv w:val="1"/>
      <w:marLeft w:val="0"/>
      <w:marRight w:val="0"/>
      <w:marTop w:val="0"/>
      <w:marBottom w:val="0"/>
      <w:divBdr>
        <w:top w:val="none" w:sz="0" w:space="0" w:color="auto"/>
        <w:left w:val="none" w:sz="0" w:space="0" w:color="auto"/>
        <w:bottom w:val="none" w:sz="0" w:space="0" w:color="auto"/>
        <w:right w:val="none" w:sz="0" w:space="0" w:color="auto"/>
      </w:divBdr>
    </w:div>
    <w:div w:id="102115041">
      <w:bodyDiv w:val="1"/>
      <w:marLeft w:val="0"/>
      <w:marRight w:val="0"/>
      <w:marTop w:val="0"/>
      <w:marBottom w:val="0"/>
      <w:divBdr>
        <w:top w:val="none" w:sz="0" w:space="0" w:color="auto"/>
        <w:left w:val="none" w:sz="0" w:space="0" w:color="auto"/>
        <w:bottom w:val="none" w:sz="0" w:space="0" w:color="auto"/>
        <w:right w:val="none" w:sz="0" w:space="0" w:color="auto"/>
      </w:divBdr>
    </w:div>
    <w:div w:id="118456142">
      <w:bodyDiv w:val="1"/>
      <w:marLeft w:val="0"/>
      <w:marRight w:val="0"/>
      <w:marTop w:val="0"/>
      <w:marBottom w:val="0"/>
      <w:divBdr>
        <w:top w:val="none" w:sz="0" w:space="0" w:color="auto"/>
        <w:left w:val="none" w:sz="0" w:space="0" w:color="auto"/>
        <w:bottom w:val="none" w:sz="0" w:space="0" w:color="auto"/>
        <w:right w:val="none" w:sz="0" w:space="0" w:color="auto"/>
      </w:divBdr>
    </w:div>
    <w:div w:id="145510775">
      <w:bodyDiv w:val="1"/>
      <w:marLeft w:val="0"/>
      <w:marRight w:val="0"/>
      <w:marTop w:val="0"/>
      <w:marBottom w:val="0"/>
      <w:divBdr>
        <w:top w:val="none" w:sz="0" w:space="0" w:color="auto"/>
        <w:left w:val="none" w:sz="0" w:space="0" w:color="auto"/>
        <w:bottom w:val="none" w:sz="0" w:space="0" w:color="auto"/>
        <w:right w:val="none" w:sz="0" w:space="0" w:color="auto"/>
      </w:divBdr>
      <w:divsChild>
        <w:div w:id="859315759">
          <w:marLeft w:val="547"/>
          <w:marRight w:val="0"/>
          <w:marTop w:val="0"/>
          <w:marBottom w:val="100"/>
          <w:divBdr>
            <w:top w:val="none" w:sz="0" w:space="0" w:color="auto"/>
            <w:left w:val="none" w:sz="0" w:space="0" w:color="auto"/>
            <w:bottom w:val="none" w:sz="0" w:space="0" w:color="auto"/>
            <w:right w:val="none" w:sz="0" w:space="0" w:color="auto"/>
          </w:divBdr>
        </w:div>
      </w:divsChild>
    </w:div>
    <w:div w:id="164899619">
      <w:bodyDiv w:val="1"/>
      <w:marLeft w:val="0"/>
      <w:marRight w:val="0"/>
      <w:marTop w:val="0"/>
      <w:marBottom w:val="0"/>
      <w:divBdr>
        <w:top w:val="none" w:sz="0" w:space="0" w:color="auto"/>
        <w:left w:val="none" w:sz="0" w:space="0" w:color="auto"/>
        <w:bottom w:val="none" w:sz="0" w:space="0" w:color="auto"/>
        <w:right w:val="none" w:sz="0" w:space="0" w:color="auto"/>
      </w:divBdr>
      <w:divsChild>
        <w:div w:id="74203697">
          <w:marLeft w:val="360"/>
          <w:marRight w:val="0"/>
          <w:marTop w:val="200"/>
          <w:marBottom w:val="0"/>
          <w:divBdr>
            <w:top w:val="none" w:sz="0" w:space="0" w:color="auto"/>
            <w:left w:val="none" w:sz="0" w:space="0" w:color="auto"/>
            <w:bottom w:val="none" w:sz="0" w:space="0" w:color="auto"/>
            <w:right w:val="none" w:sz="0" w:space="0" w:color="auto"/>
          </w:divBdr>
        </w:div>
        <w:div w:id="734936950">
          <w:marLeft w:val="360"/>
          <w:marRight w:val="0"/>
          <w:marTop w:val="200"/>
          <w:marBottom w:val="0"/>
          <w:divBdr>
            <w:top w:val="none" w:sz="0" w:space="0" w:color="auto"/>
            <w:left w:val="none" w:sz="0" w:space="0" w:color="auto"/>
            <w:bottom w:val="none" w:sz="0" w:space="0" w:color="auto"/>
            <w:right w:val="none" w:sz="0" w:space="0" w:color="auto"/>
          </w:divBdr>
        </w:div>
        <w:div w:id="1953628921">
          <w:marLeft w:val="360"/>
          <w:marRight w:val="0"/>
          <w:marTop w:val="200"/>
          <w:marBottom w:val="0"/>
          <w:divBdr>
            <w:top w:val="none" w:sz="0" w:space="0" w:color="auto"/>
            <w:left w:val="none" w:sz="0" w:space="0" w:color="auto"/>
            <w:bottom w:val="none" w:sz="0" w:space="0" w:color="auto"/>
            <w:right w:val="none" w:sz="0" w:space="0" w:color="auto"/>
          </w:divBdr>
        </w:div>
      </w:divsChild>
    </w:div>
    <w:div w:id="169368318">
      <w:bodyDiv w:val="1"/>
      <w:marLeft w:val="0"/>
      <w:marRight w:val="0"/>
      <w:marTop w:val="0"/>
      <w:marBottom w:val="0"/>
      <w:divBdr>
        <w:top w:val="none" w:sz="0" w:space="0" w:color="auto"/>
        <w:left w:val="none" w:sz="0" w:space="0" w:color="auto"/>
        <w:bottom w:val="none" w:sz="0" w:space="0" w:color="auto"/>
        <w:right w:val="none" w:sz="0" w:space="0" w:color="auto"/>
      </w:divBdr>
    </w:div>
    <w:div w:id="177158440">
      <w:bodyDiv w:val="1"/>
      <w:marLeft w:val="0"/>
      <w:marRight w:val="0"/>
      <w:marTop w:val="0"/>
      <w:marBottom w:val="0"/>
      <w:divBdr>
        <w:top w:val="none" w:sz="0" w:space="0" w:color="auto"/>
        <w:left w:val="none" w:sz="0" w:space="0" w:color="auto"/>
        <w:bottom w:val="none" w:sz="0" w:space="0" w:color="auto"/>
        <w:right w:val="none" w:sz="0" w:space="0" w:color="auto"/>
      </w:divBdr>
      <w:divsChild>
        <w:div w:id="1989044362">
          <w:marLeft w:val="446"/>
          <w:marRight w:val="0"/>
          <w:marTop w:val="60"/>
          <w:marBottom w:val="60"/>
          <w:divBdr>
            <w:top w:val="none" w:sz="0" w:space="0" w:color="auto"/>
            <w:left w:val="none" w:sz="0" w:space="0" w:color="auto"/>
            <w:bottom w:val="none" w:sz="0" w:space="0" w:color="auto"/>
            <w:right w:val="none" w:sz="0" w:space="0" w:color="auto"/>
          </w:divBdr>
        </w:div>
      </w:divsChild>
    </w:div>
    <w:div w:id="186414524">
      <w:bodyDiv w:val="1"/>
      <w:marLeft w:val="0"/>
      <w:marRight w:val="0"/>
      <w:marTop w:val="0"/>
      <w:marBottom w:val="0"/>
      <w:divBdr>
        <w:top w:val="none" w:sz="0" w:space="0" w:color="auto"/>
        <w:left w:val="none" w:sz="0" w:space="0" w:color="auto"/>
        <w:bottom w:val="none" w:sz="0" w:space="0" w:color="auto"/>
        <w:right w:val="none" w:sz="0" w:space="0" w:color="auto"/>
      </w:divBdr>
    </w:div>
    <w:div w:id="195198269">
      <w:bodyDiv w:val="1"/>
      <w:marLeft w:val="0"/>
      <w:marRight w:val="0"/>
      <w:marTop w:val="0"/>
      <w:marBottom w:val="0"/>
      <w:divBdr>
        <w:top w:val="none" w:sz="0" w:space="0" w:color="auto"/>
        <w:left w:val="none" w:sz="0" w:space="0" w:color="auto"/>
        <w:bottom w:val="none" w:sz="0" w:space="0" w:color="auto"/>
        <w:right w:val="none" w:sz="0" w:space="0" w:color="auto"/>
      </w:divBdr>
    </w:div>
    <w:div w:id="199049731">
      <w:bodyDiv w:val="1"/>
      <w:marLeft w:val="0"/>
      <w:marRight w:val="0"/>
      <w:marTop w:val="0"/>
      <w:marBottom w:val="0"/>
      <w:divBdr>
        <w:top w:val="none" w:sz="0" w:space="0" w:color="auto"/>
        <w:left w:val="none" w:sz="0" w:space="0" w:color="auto"/>
        <w:bottom w:val="none" w:sz="0" w:space="0" w:color="auto"/>
        <w:right w:val="none" w:sz="0" w:space="0" w:color="auto"/>
      </w:divBdr>
    </w:div>
    <w:div w:id="207109093">
      <w:bodyDiv w:val="1"/>
      <w:marLeft w:val="0"/>
      <w:marRight w:val="0"/>
      <w:marTop w:val="0"/>
      <w:marBottom w:val="0"/>
      <w:divBdr>
        <w:top w:val="none" w:sz="0" w:space="0" w:color="auto"/>
        <w:left w:val="none" w:sz="0" w:space="0" w:color="auto"/>
        <w:bottom w:val="none" w:sz="0" w:space="0" w:color="auto"/>
        <w:right w:val="none" w:sz="0" w:space="0" w:color="auto"/>
      </w:divBdr>
      <w:divsChild>
        <w:div w:id="1553734358">
          <w:marLeft w:val="634"/>
          <w:marRight w:val="0"/>
          <w:marTop w:val="60"/>
          <w:marBottom w:val="60"/>
          <w:divBdr>
            <w:top w:val="none" w:sz="0" w:space="0" w:color="auto"/>
            <w:left w:val="none" w:sz="0" w:space="0" w:color="auto"/>
            <w:bottom w:val="none" w:sz="0" w:space="0" w:color="auto"/>
            <w:right w:val="none" w:sz="0" w:space="0" w:color="auto"/>
          </w:divBdr>
        </w:div>
      </w:divsChild>
    </w:div>
    <w:div w:id="208885398">
      <w:bodyDiv w:val="1"/>
      <w:marLeft w:val="0"/>
      <w:marRight w:val="0"/>
      <w:marTop w:val="0"/>
      <w:marBottom w:val="0"/>
      <w:divBdr>
        <w:top w:val="none" w:sz="0" w:space="0" w:color="auto"/>
        <w:left w:val="none" w:sz="0" w:space="0" w:color="auto"/>
        <w:bottom w:val="none" w:sz="0" w:space="0" w:color="auto"/>
        <w:right w:val="none" w:sz="0" w:space="0" w:color="auto"/>
      </w:divBdr>
      <w:divsChild>
        <w:div w:id="425031982">
          <w:marLeft w:val="360"/>
          <w:marRight w:val="0"/>
          <w:marTop w:val="120"/>
          <w:marBottom w:val="120"/>
          <w:divBdr>
            <w:top w:val="none" w:sz="0" w:space="0" w:color="auto"/>
            <w:left w:val="none" w:sz="0" w:space="0" w:color="auto"/>
            <w:bottom w:val="none" w:sz="0" w:space="0" w:color="auto"/>
            <w:right w:val="none" w:sz="0" w:space="0" w:color="auto"/>
          </w:divBdr>
        </w:div>
        <w:div w:id="548885754">
          <w:marLeft w:val="360"/>
          <w:marRight w:val="0"/>
          <w:marTop w:val="120"/>
          <w:marBottom w:val="120"/>
          <w:divBdr>
            <w:top w:val="none" w:sz="0" w:space="0" w:color="auto"/>
            <w:left w:val="none" w:sz="0" w:space="0" w:color="auto"/>
            <w:bottom w:val="none" w:sz="0" w:space="0" w:color="auto"/>
            <w:right w:val="none" w:sz="0" w:space="0" w:color="auto"/>
          </w:divBdr>
        </w:div>
        <w:div w:id="909853360">
          <w:marLeft w:val="360"/>
          <w:marRight w:val="0"/>
          <w:marTop w:val="120"/>
          <w:marBottom w:val="120"/>
          <w:divBdr>
            <w:top w:val="none" w:sz="0" w:space="0" w:color="auto"/>
            <w:left w:val="none" w:sz="0" w:space="0" w:color="auto"/>
            <w:bottom w:val="none" w:sz="0" w:space="0" w:color="auto"/>
            <w:right w:val="none" w:sz="0" w:space="0" w:color="auto"/>
          </w:divBdr>
        </w:div>
        <w:div w:id="1001927283">
          <w:marLeft w:val="360"/>
          <w:marRight w:val="0"/>
          <w:marTop w:val="120"/>
          <w:marBottom w:val="120"/>
          <w:divBdr>
            <w:top w:val="none" w:sz="0" w:space="0" w:color="auto"/>
            <w:left w:val="none" w:sz="0" w:space="0" w:color="auto"/>
            <w:bottom w:val="none" w:sz="0" w:space="0" w:color="auto"/>
            <w:right w:val="none" w:sz="0" w:space="0" w:color="auto"/>
          </w:divBdr>
        </w:div>
        <w:div w:id="1217082864">
          <w:marLeft w:val="360"/>
          <w:marRight w:val="0"/>
          <w:marTop w:val="120"/>
          <w:marBottom w:val="120"/>
          <w:divBdr>
            <w:top w:val="none" w:sz="0" w:space="0" w:color="auto"/>
            <w:left w:val="none" w:sz="0" w:space="0" w:color="auto"/>
            <w:bottom w:val="none" w:sz="0" w:space="0" w:color="auto"/>
            <w:right w:val="none" w:sz="0" w:space="0" w:color="auto"/>
          </w:divBdr>
        </w:div>
        <w:div w:id="1542935070">
          <w:marLeft w:val="360"/>
          <w:marRight w:val="0"/>
          <w:marTop w:val="120"/>
          <w:marBottom w:val="120"/>
          <w:divBdr>
            <w:top w:val="none" w:sz="0" w:space="0" w:color="auto"/>
            <w:left w:val="none" w:sz="0" w:space="0" w:color="auto"/>
            <w:bottom w:val="none" w:sz="0" w:space="0" w:color="auto"/>
            <w:right w:val="none" w:sz="0" w:space="0" w:color="auto"/>
          </w:divBdr>
        </w:div>
      </w:divsChild>
    </w:div>
    <w:div w:id="217515687">
      <w:bodyDiv w:val="1"/>
      <w:marLeft w:val="0"/>
      <w:marRight w:val="0"/>
      <w:marTop w:val="0"/>
      <w:marBottom w:val="0"/>
      <w:divBdr>
        <w:top w:val="none" w:sz="0" w:space="0" w:color="auto"/>
        <w:left w:val="none" w:sz="0" w:space="0" w:color="auto"/>
        <w:bottom w:val="none" w:sz="0" w:space="0" w:color="auto"/>
        <w:right w:val="none" w:sz="0" w:space="0" w:color="auto"/>
      </w:divBdr>
    </w:div>
    <w:div w:id="222133948">
      <w:bodyDiv w:val="1"/>
      <w:marLeft w:val="0"/>
      <w:marRight w:val="0"/>
      <w:marTop w:val="0"/>
      <w:marBottom w:val="0"/>
      <w:divBdr>
        <w:top w:val="none" w:sz="0" w:space="0" w:color="auto"/>
        <w:left w:val="none" w:sz="0" w:space="0" w:color="auto"/>
        <w:bottom w:val="none" w:sz="0" w:space="0" w:color="auto"/>
        <w:right w:val="none" w:sz="0" w:space="0" w:color="auto"/>
      </w:divBdr>
      <w:divsChild>
        <w:div w:id="1141655484">
          <w:marLeft w:val="360"/>
          <w:marRight w:val="0"/>
          <w:marTop w:val="60"/>
          <w:marBottom w:val="60"/>
          <w:divBdr>
            <w:top w:val="none" w:sz="0" w:space="0" w:color="auto"/>
            <w:left w:val="none" w:sz="0" w:space="0" w:color="auto"/>
            <w:bottom w:val="none" w:sz="0" w:space="0" w:color="auto"/>
            <w:right w:val="none" w:sz="0" w:space="0" w:color="auto"/>
          </w:divBdr>
        </w:div>
        <w:div w:id="1722093139">
          <w:marLeft w:val="360"/>
          <w:marRight w:val="0"/>
          <w:marTop w:val="60"/>
          <w:marBottom w:val="60"/>
          <w:divBdr>
            <w:top w:val="none" w:sz="0" w:space="0" w:color="auto"/>
            <w:left w:val="none" w:sz="0" w:space="0" w:color="auto"/>
            <w:bottom w:val="none" w:sz="0" w:space="0" w:color="auto"/>
            <w:right w:val="none" w:sz="0" w:space="0" w:color="auto"/>
          </w:divBdr>
        </w:div>
      </w:divsChild>
    </w:div>
    <w:div w:id="231896662">
      <w:bodyDiv w:val="1"/>
      <w:marLeft w:val="0"/>
      <w:marRight w:val="0"/>
      <w:marTop w:val="0"/>
      <w:marBottom w:val="0"/>
      <w:divBdr>
        <w:top w:val="none" w:sz="0" w:space="0" w:color="auto"/>
        <w:left w:val="none" w:sz="0" w:space="0" w:color="auto"/>
        <w:bottom w:val="none" w:sz="0" w:space="0" w:color="auto"/>
        <w:right w:val="none" w:sz="0" w:space="0" w:color="auto"/>
      </w:divBdr>
    </w:div>
    <w:div w:id="238753280">
      <w:bodyDiv w:val="1"/>
      <w:marLeft w:val="0"/>
      <w:marRight w:val="0"/>
      <w:marTop w:val="0"/>
      <w:marBottom w:val="0"/>
      <w:divBdr>
        <w:top w:val="none" w:sz="0" w:space="0" w:color="auto"/>
        <w:left w:val="none" w:sz="0" w:space="0" w:color="auto"/>
        <w:bottom w:val="none" w:sz="0" w:space="0" w:color="auto"/>
        <w:right w:val="none" w:sz="0" w:space="0" w:color="auto"/>
      </w:divBdr>
    </w:div>
    <w:div w:id="243613800">
      <w:bodyDiv w:val="1"/>
      <w:marLeft w:val="0"/>
      <w:marRight w:val="0"/>
      <w:marTop w:val="0"/>
      <w:marBottom w:val="0"/>
      <w:divBdr>
        <w:top w:val="none" w:sz="0" w:space="0" w:color="auto"/>
        <w:left w:val="none" w:sz="0" w:space="0" w:color="auto"/>
        <w:bottom w:val="none" w:sz="0" w:space="0" w:color="auto"/>
        <w:right w:val="none" w:sz="0" w:space="0" w:color="auto"/>
      </w:divBdr>
      <w:divsChild>
        <w:div w:id="62222224">
          <w:marLeft w:val="360"/>
          <w:marRight w:val="0"/>
          <w:marTop w:val="200"/>
          <w:marBottom w:val="0"/>
          <w:divBdr>
            <w:top w:val="none" w:sz="0" w:space="0" w:color="auto"/>
            <w:left w:val="none" w:sz="0" w:space="0" w:color="auto"/>
            <w:bottom w:val="none" w:sz="0" w:space="0" w:color="auto"/>
            <w:right w:val="none" w:sz="0" w:space="0" w:color="auto"/>
          </w:divBdr>
        </w:div>
        <w:div w:id="764040140">
          <w:marLeft w:val="360"/>
          <w:marRight w:val="0"/>
          <w:marTop w:val="200"/>
          <w:marBottom w:val="0"/>
          <w:divBdr>
            <w:top w:val="none" w:sz="0" w:space="0" w:color="auto"/>
            <w:left w:val="none" w:sz="0" w:space="0" w:color="auto"/>
            <w:bottom w:val="none" w:sz="0" w:space="0" w:color="auto"/>
            <w:right w:val="none" w:sz="0" w:space="0" w:color="auto"/>
          </w:divBdr>
        </w:div>
        <w:div w:id="824132123">
          <w:marLeft w:val="360"/>
          <w:marRight w:val="0"/>
          <w:marTop w:val="200"/>
          <w:marBottom w:val="0"/>
          <w:divBdr>
            <w:top w:val="none" w:sz="0" w:space="0" w:color="auto"/>
            <w:left w:val="none" w:sz="0" w:space="0" w:color="auto"/>
            <w:bottom w:val="none" w:sz="0" w:space="0" w:color="auto"/>
            <w:right w:val="none" w:sz="0" w:space="0" w:color="auto"/>
          </w:divBdr>
        </w:div>
      </w:divsChild>
    </w:div>
    <w:div w:id="245653230">
      <w:bodyDiv w:val="1"/>
      <w:marLeft w:val="0"/>
      <w:marRight w:val="0"/>
      <w:marTop w:val="0"/>
      <w:marBottom w:val="0"/>
      <w:divBdr>
        <w:top w:val="none" w:sz="0" w:space="0" w:color="auto"/>
        <w:left w:val="none" w:sz="0" w:space="0" w:color="auto"/>
        <w:bottom w:val="none" w:sz="0" w:space="0" w:color="auto"/>
        <w:right w:val="none" w:sz="0" w:space="0" w:color="auto"/>
      </w:divBdr>
      <w:divsChild>
        <w:div w:id="145052528">
          <w:marLeft w:val="446"/>
          <w:marRight w:val="0"/>
          <w:marTop w:val="120"/>
          <w:marBottom w:val="120"/>
          <w:divBdr>
            <w:top w:val="none" w:sz="0" w:space="0" w:color="auto"/>
            <w:left w:val="none" w:sz="0" w:space="0" w:color="auto"/>
            <w:bottom w:val="none" w:sz="0" w:space="0" w:color="auto"/>
            <w:right w:val="none" w:sz="0" w:space="0" w:color="auto"/>
          </w:divBdr>
        </w:div>
        <w:div w:id="847721449">
          <w:marLeft w:val="446"/>
          <w:marRight w:val="0"/>
          <w:marTop w:val="120"/>
          <w:marBottom w:val="120"/>
          <w:divBdr>
            <w:top w:val="none" w:sz="0" w:space="0" w:color="auto"/>
            <w:left w:val="none" w:sz="0" w:space="0" w:color="auto"/>
            <w:bottom w:val="none" w:sz="0" w:space="0" w:color="auto"/>
            <w:right w:val="none" w:sz="0" w:space="0" w:color="auto"/>
          </w:divBdr>
        </w:div>
        <w:div w:id="939609127">
          <w:marLeft w:val="446"/>
          <w:marRight w:val="0"/>
          <w:marTop w:val="120"/>
          <w:marBottom w:val="120"/>
          <w:divBdr>
            <w:top w:val="none" w:sz="0" w:space="0" w:color="auto"/>
            <w:left w:val="none" w:sz="0" w:space="0" w:color="auto"/>
            <w:bottom w:val="none" w:sz="0" w:space="0" w:color="auto"/>
            <w:right w:val="none" w:sz="0" w:space="0" w:color="auto"/>
          </w:divBdr>
        </w:div>
      </w:divsChild>
    </w:div>
    <w:div w:id="248580544">
      <w:bodyDiv w:val="1"/>
      <w:marLeft w:val="0"/>
      <w:marRight w:val="0"/>
      <w:marTop w:val="0"/>
      <w:marBottom w:val="0"/>
      <w:divBdr>
        <w:top w:val="none" w:sz="0" w:space="0" w:color="auto"/>
        <w:left w:val="none" w:sz="0" w:space="0" w:color="auto"/>
        <w:bottom w:val="none" w:sz="0" w:space="0" w:color="auto"/>
        <w:right w:val="none" w:sz="0" w:space="0" w:color="auto"/>
      </w:divBdr>
    </w:div>
    <w:div w:id="274480436">
      <w:bodyDiv w:val="1"/>
      <w:marLeft w:val="0"/>
      <w:marRight w:val="0"/>
      <w:marTop w:val="0"/>
      <w:marBottom w:val="0"/>
      <w:divBdr>
        <w:top w:val="none" w:sz="0" w:space="0" w:color="auto"/>
        <w:left w:val="none" w:sz="0" w:space="0" w:color="auto"/>
        <w:bottom w:val="none" w:sz="0" w:space="0" w:color="auto"/>
        <w:right w:val="none" w:sz="0" w:space="0" w:color="auto"/>
      </w:divBdr>
    </w:div>
    <w:div w:id="275721726">
      <w:bodyDiv w:val="1"/>
      <w:marLeft w:val="0"/>
      <w:marRight w:val="0"/>
      <w:marTop w:val="0"/>
      <w:marBottom w:val="0"/>
      <w:divBdr>
        <w:top w:val="none" w:sz="0" w:space="0" w:color="auto"/>
        <w:left w:val="none" w:sz="0" w:space="0" w:color="auto"/>
        <w:bottom w:val="none" w:sz="0" w:space="0" w:color="auto"/>
        <w:right w:val="none" w:sz="0" w:space="0" w:color="auto"/>
      </w:divBdr>
    </w:div>
    <w:div w:id="288321210">
      <w:bodyDiv w:val="1"/>
      <w:marLeft w:val="0"/>
      <w:marRight w:val="0"/>
      <w:marTop w:val="0"/>
      <w:marBottom w:val="0"/>
      <w:divBdr>
        <w:top w:val="none" w:sz="0" w:space="0" w:color="auto"/>
        <w:left w:val="none" w:sz="0" w:space="0" w:color="auto"/>
        <w:bottom w:val="none" w:sz="0" w:space="0" w:color="auto"/>
        <w:right w:val="none" w:sz="0" w:space="0" w:color="auto"/>
      </w:divBdr>
    </w:div>
    <w:div w:id="294259846">
      <w:bodyDiv w:val="1"/>
      <w:marLeft w:val="0"/>
      <w:marRight w:val="0"/>
      <w:marTop w:val="0"/>
      <w:marBottom w:val="0"/>
      <w:divBdr>
        <w:top w:val="none" w:sz="0" w:space="0" w:color="auto"/>
        <w:left w:val="none" w:sz="0" w:space="0" w:color="auto"/>
        <w:bottom w:val="none" w:sz="0" w:space="0" w:color="auto"/>
        <w:right w:val="none" w:sz="0" w:space="0" w:color="auto"/>
      </w:divBdr>
    </w:div>
    <w:div w:id="302853175">
      <w:bodyDiv w:val="1"/>
      <w:marLeft w:val="0"/>
      <w:marRight w:val="0"/>
      <w:marTop w:val="0"/>
      <w:marBottom w:val="0"/>
      <w:divBdr>
        <w:top w:val="none" w:sz="0" w:space="0" w:color="auto"/>
        <w:left w:val="none" w:sz="0" w:space="0" w:color="auto"/>
        <w:bottom w:val="none" w:sz="0" w:space="0" w:color="auto"/>
        <w:right w:val="none" w:sz="0" w:space="0" w:color="auto"/>
      </w:divBdr>
      <w:divsChild>
        <w:div w:id="221794325">
          <w:marLeft w:val="274"/>
          <w:marRight w:val="0"/>
          <w:marTop w:val="0"/>
          <w:marBottom w:val="0"/>
          <w:divBdr>
            <w:top w:val="none" w:sz="0" w:space="0" w:color="auto"/>
            <w:left w:val="none" w:sz="0" w:space="0" w:color="auto"/>
            <w:bottom w:val="none" w:sz="0" w:space="0" w:color="auto"/>
            <w:right w:val="none" w:sz="0" w:space="0" w:color="auto"/>
          </w:divBdr>
        </w:div>
        <w:div w:id="325010761">
          <w:marLeft w:val="274"/>
          <w:marRight w:val="0"/>
          <w:marTop w:val="0"/>
          <w:marBottom w:val="0"/>
          <w:divBdr>
            <w:top w:val="none" w:sz="0" w:space="0" w:color="auto"/>
            <w:left w:val="none" w:sz="0" w:space="0" w:color="auto"/>
            <w:bottom w:val="none" w:sz="0" w:space="0" w:color="auto"/>
            <w:right w:val="none" w:sz="0" w:space="0" w:color="auto"/>
          </w:divBdr>
        </w:div>
        <w:div w:id="1002200288">
          <w:marLeft w:val="274"/>
          <w:marRight w:val="0"/>
          <w:marTop w:val="0"/>
          <w:marBottom w:val="0"/>
          <w:divBdr>
            <w:top w:val="none" w:sz="0" w:space="0" w:color="auto"/>
            <w:left w:val="none" w:sz="0" w:space="0" w:color="auto"/>
            <w:bottom w:val="none" w:sz="0" w:space="0" w:color="auto"/>
            <w:right w:val="none" w:sz="0" w:space="0" w:color="auto"/>
          </w:divBdr>
        </w:div>
        <w:div w:id="1642736095">
          <w:marLeft w:val="274"/>
          <w:marRight w:val="0"/>
          <w:marTop w:val="0"/>
          <w:marBottom w:val="0"/>
          <w:divBdr>
            <w:top w:val="none" w:sz="0" w:space="0" w:color="auto"/>
            <w:left w:val="none" w:sz="0" w:space="0" w:color="auto"/>
            <w:bottom w:val="none" w:sz="0" w:space="0" w:color="auto"/>
            <w:right w:val="none" w:sz="0" w:space="0" w:color="auto"/>
          </w:divBdr>
        </w:div>
      </w:divsChild>
    </w:div>
    <w:div w:id="306011891">
      <w:bodyDiv w:val="1"/>
      <w:marLeft w:val="0"/>
      <w:marRight w:val="0"/>
      <w:marTop w:val="0"/>
      <w:marBottom w:val="0"/>
      <w:divBdr>
        <w:top w:val="none" w:sz="0" w:space="0" w:color="auto"/>
        <w:left w:val="none" w:sz="0" w:space="0" w:color="auto"/>
        <w:bottom w:val="none" w:sz="0" w:space="0" w:color="auto"/>
        <w:right w:val="none" w:sz="0" w:space="0" w:color="auto"/>
      </w:divBdr>
      <w:divsChild>
        <w:div w:id="602617290">
          <w:marLeft w:val="360"/>
          <w:marRight w:val="0"/>
          <w:marTop w:val="60"/>
          <w:marBottom w:val="60"/>
          <w:divBdr>
            <w:top w:val="none" w:sz="0" w:space="0" w:color="auto"/>
            <w:left w:val="none" w:sz="0" w:space="0" w:color="auto"/>
            <w:bottom w:val="none" w:sz="0" w:space="0" w:color="auto"/>
            <w:right w:val="none" w:sz="0" w:space="0" w:color="auto"/>
          </w:divBdr>
        </w:div>
      </w:divsChild>
    </w:div>
    <w:div w:id="314376317">
      <w:bodyDiv w:val="1"/>
      <w:marLeft w:val="0"/>
      <w:marRight w:val="0"/>
      <w:marTop w:val="0"/>
      <w:marBottom w:val="0"/>
      <w:divBdr>
        <w:top w:val="none" w:sz="0" w:space="0" w:color="auto"/>
        <w:left w:val="none" w:sz="0" w:space="0" w:color="auto"/>
        <w:bottom w:val="none" w:sz="0" w:space="0" w:color="auto"/>
        <w:right w:val="none" w:sz="0" w:space="0" w:color="auto"/>
      </w:divBdr>
      <w:divsChild>
        <w:div w:id="1617373511">
          <w:marLeft w:val="634"/>
          <w:marRight w:val="0"/>
          <w:marTop w:val="0"/>
          <w:marBottom w:val="0"/>
          <w:divBdr>
            <w:top w:val="none" w:sz="0" w:space="0" w:color="auto"/>
            <w:left w:val="none" w:sz="0" w:space="0" w:color="auto"/>
            <w:bottom w:val="none" w:sz="0" w:space="0" w:color="auto"/>
            <w:right w:val="none" w:sz="0" w:space="0" w:color="auto"/>
          </w:divBdr>
        </w:div>
      </w:divsChild>
    </w:div>
    <w:div w:id="345837067">
      <w:bodyDiv w:val="1"/>
      <w:marLeft w:val="0"/>
      <w:marRight w:val="0"/>
      <w:marTop w:val="0"/>
      <w:marBottom w:val="0"/>
      <w:divBdr>
        <w:top w:val="none" w:sz="0" w:space="0" w:color="auto"/>
        <w:left w:val="none" w:sz="0" w:space="0" w:color="auto"/>
        <w:bottom w:val="none" w:sz="0" w:space="0" w:color="auto"/>
        <w:right w:val="none" w:sz="0" w:space="0" w:color="auto"/>
      </w:divBdr>
    </w:div>
    <w:div w:id="360713516">
      <w:bodyDiv w:val="1"/>
      <w:marLeft w:val="0"/>
      <w:marRight w:val="0"/>
      <w:marTop w:val="0"/>
      <w:marBottom w:val="0"/>
      <w:divBdr>
        <w:top w:val="none" w:sz="0" w:space="0" w:color="auto"/>
        <w:left w:val="none" w:sz="0" w:space="0" w:color="auto"/>
        <w:bottom w:val="none" w:sz="0" w:space="0" w:color="auto"/>
        <w:right w:val="none" w:sz="0" w:space="0" w:color="auto"/>
      </w:divBdr>
    </w:div>
    <w:div w:id="380447054">
      <w:bodyDiv w:val="1"/>
      <w:marLeft w:val="0"/>
      <w:marRight w:val="0"/>
      <w:marTop w:val="0"/>
      <w:marBottom w:val="0"/>
      <w:divBdr>
        <w:top w:val="none" w:sz="0" w:space="0" w:color="auto"/>
        <w:left w:val="none" w:sz="0" w:space="0" w:color="auto"/>
        <w:bottom w:val="none" w:sz="0" w:space="0" w:color="auto"/>
        <w:right w:val="none" w:sz="0" w:space="0" w:color="auto"/>
      </w:divBdr>
      <w:divsChild>
        <w:div w:id="1948731327">
          <w:marLeft w:val="360"/>
          <w:marRight w:val="0"/>
          <w:marTop w:val="200"/>
          <w:marBottom w:val="0"/>
          <w:divBdr>
            <w:top w:val="none" w:sz="0" w:space="0" w:color="auto"/>
            <w:left w:val="none" w:sz="0" w:space="0" w:color="auto"/>
            <w:bottom w:val="none" w:sz="0" w:space="0" w:color="auto"/>
            <w:right w:val="none" w:sz="0" w:space="0" w:color="auto"/>
          </w:divBdr>
        </w:div>
      </w:divsChild>
    </w:div>
    <w:div w:id="384335100">
      <w:bodyDiv w:val="1"/>
      <w:marLeft w:val="0"/>
      <w:marRight w:val="0"/>
      <w:marTop w:val="0"/>
      <w:marBottom w:val="0"/>
      <w:divBdr>
        <w:top w:val="none" w:sz="0" w:space="0" w:color="auto"/>
        <w:left w:val="none" w:sz="0" w:space="0" w:color="auto"/>
        <w:bottom w:val="none" w:sz="0" w:space="0" w:color="auto"/>
        <w:right w:val="none" w:sz="0" w:space="0" w:color="auto"/>
      </w:divBdr>
    </w:div>
    <w:div w:id="401412798">
      <w:bodyDiv w:val="1"/>
      <w:marLeft w:val="0"/>
      <w:marRight w:val="0"/>
      <w:marTop w:val="0"/>
      <w:marBottom w:val="0"/>
      <w:divBdr>
        <w:top w:val="none" w:sz="0" w:space="0" w:color="auto"/>
        <w:left w:val="none" w:sz="0" w:space="0" w:color="auto"/>
        <w:bottom w:val="none" w:sz="0" w:space="0" w:color="auto"/>
        <w:right w:val="none" w:sz="0" w:space="0" w:color="auto"/>
      </w:divBdr>
    </w:div>
    <w:div w:id="401484565">
      <w:bodyDiv w:val="1"/>
      <w:marLeft w:val="0"/>
      <w:marRight w:val="0"/>
      <w:marTop w:val="0"/>
      <w:marBottom w:val="0"/>
      <w:divBdr>
        <w:top w:val="none" w:sz="0" w:space="0" w:color="auto"/>
        <w:left w:val="none" w:sz="0" w:space="0" w:color="auto"/>
        <w:bottom w:val="none" w:sz="0" w:space="0" w:color="auto"/>
        <w:right w:val="none" w:sz="0" w:space="0" w:color="auto"/>
      </w:divBdr>
    </w:div>
    <w:div w:id="413014376">
      <w:bodyDiv w:val="1"/>
      <w:marLeft w:val="0"/>
      <w:marRight w:val="0"/>
      <w:marTop w:val="0"/>
      <w:marBottom w:val="0"/>
      <w:divBdr>
        <w:top w:val="none" w:sz="0" w:space="0" w:color="auto"/>
        <w:left w:val="none" w:sz="0" w:space="0" w:color="auto"/>
        <w:bottom w:val="none" w:sz="0" w:space="0" w:color="auto"/>
        <w:right w:val="none" w:sz="0" w:space="0" w:color="auto"/>
      </w:divBdr>
      <w:divsChild>
        <w:div w:id="199053805">
          <w:marLeft w:val="274"/>
          <w:marRight w:val="0"/>
          <w:marTop w:val="0"/>
          <w:marBottom w:val="0"/>
          <w:divBdr>
            <w:top w:val="none" w:sz="0" w:space="0" w:color="auto"/>
            <w:left w:val="none" w:sz="0" w:space="0" w:color="auto"/>
            <w:bottom w:val="none" w:sz="0" w:space="0" w:color="auto"/>
            <w:right w:val="none" w:sz="0" w:space="0" w:color="auto"/>
          </w:divBdr>
        </w:div>
        <w:div w:id="901522919">
          <w:marLeft w:val="274"/>
          <w:marRight w:val="0"/>
          <w:marTop w:val="0"/>
          <w:marBottom w:val="0"/>
          <w:divBdr>
            <w:top w:val="none" w:sz="0" w:space="0" w:color="auto"/>
            <w:left w:val="none" w:sz="0" w:space="0" w:color="auto"/>
            <w:bottom w:val="none" w:sz="0" w:space="0" w:color="auto"/>
            <w:right w:val="none" w:sz="0" w:space="0" w:color="auto"/>
          </w:divBdr>
        </w:div>
        <w:div w:id="1491602143">
          <w:marLeft w:val="274"/>
          <w:marRight w:val="0"/>
          <w:marTop w:val="0"/>
          <w:marBottom w:val="0"/>
          <w:divBdr>
            <w:top w:val="none" w:sz="0" w:space="0" w:color="auto"/>
            <w:left w:val="none" w:sz="0" w:space="0" w:color="auto"/>
            <w:bottom w:val="none" w:sz="0" w:space="0" w:color="auto"/>
            <w:right w:val="none" w:sz="0" w:space="0" w:color="auto"/>
          </w:divBdr>
        </w:div>
        <w:div w:id="1880051207">
          <w:marLeft w:val="274"/>
          <w:marRight w:val="0"/>
          <w:marTop w:val="0"/>
          <w:marBottom w:val="0"/>
          <w:divBdr>
            <w:top w:val="none" w:sz="0" w:space="0" w:color="auto"/>
            <w:left w:val="none" w:sz="0" w:space="0" w:color="auto"/>
            <w:bottom w:val="none" w:sz="0" w:space="0" w:color="auto"/>
            <w:right w:val="none" w:sz="0" w:space="0" w:color="auto"/>
          </w:divBdr>
        </w:div>
        <w:div w:id="2015912852">
          <w:marLeft w:val="274"/>
          <w:marRight w:val="0"/>
          <w:marTop w:val="0"/>
          <w:marBottom w:val="0"/>
          <w:divBdr>
            <w:top w:val="none" w:sz="0" w:space="0" w:color="auto"/>
            <w:left w:val="none" w:sz="0" w:space="0" w:color="auto"/>
            <w:bottom w:val="none" w:sz="0" w:space="0" w:color="auto"/>
            <w:right w:val="none" w:sz="0" w:space="0" w:color="auto"/>
          </w:divBdr>
        </w:div>
      </w:divsChild>
    </w:div>
    <w:div w:id="416748902">
      <w:bodyDiv w:val="1"/>
      <w:marLeft w:val="0"/>
      <w:marRight w:val="0"/>
      <w:marTop w:val="0"/>
      <w:marBottom w:val="0"/>
      <w:divBdr>
        <w:top w:val="none" w:sz="0" w:space="0" w:color="auto"/>
        <w:left w:val="none" w:sz="0" w:space="0" w:color="auto"/>
        <w:bottom w:val="none" w:sz="0" w:space="0" w:color="auto"/>
        <w:right w:val="none" w:sz="0" w:space="0" w:color="auto"/>
      </w:divBdr>
      <w:divsChild>
        <w:div w:id="213199902">
          <w:marLeft w:val="274"/>
          <w:marRight w:val="0"/>
          <w:marTop w:val="60"/>
          <w:marBottom w:val="60"/>
          <w:divBdr>
            <w:top w:val="none" w:sz="0" w:space="0" w:color="auto"/>
            <w:left w:val="none" w:sz="0" w:space="0" w:color="auto"/>
            <w:bottom w:val="none" w:sz="0" w:space="0" w:color="auto"/>
            <w:right w:val="none" w:sz="0" w:space="0" w:color="auto"/>
          </w:divBdr>
        </w:div>
        <w:div w:id="438334831">
          <w:marLeft w:val="274"/>
          <w:marRight w:val="0"/>
          <w:marTop w:val="60"/>
          <w:marBottom w:val="60"/>
          <w:divBdr>
            <w:top w:val="none" w:sz="0" w:space="0" w:color="auto"/>
            <w:left w:val="none" w:sz="0" w:space="0" w:color="auto"/>
            <w:bottom w:val="none" w:sz="0" w:space="0" w:color="auto"/>
            <w:right w:val="none" w:sz="0" w:space="0" w:color="auto"/>
          </w:divBdr>
        </w:div>
        <w:div w:id="1181122119">
          <w:marLeft w:val="274"/>
          <w:marRight w:val="0"/>
          <w:marTop w:val="60"/>
          <w:marBottom w:val="60"/>
          <w:divBdr>
            <w:top w:val="none" w:sz="0" w:space="0" w:color="auto"/>
            <w:left w:val="none" w:sz="0" w:space="0" w:color="auto"/>
            <w:bottom w:val="none" w:sz="0" w:space="0" w:color="auto"/>
            <w:right w:val="none" w:sz="0" w:space="0" w:color="auto"/>
          </w:divBdr>
        </w:div>
        <w:div w:id="1456019759">
          <w:marLeft w:val="274"/>
          <w:marRight w:val="0"/>
          <w:marTop w:val="60"/>
          <w:marBottom w:val="60"/>
          <w:divBdr>
            <w:top w:val="none" w:sz="0" w:space="0" w:color="auto"/>
            <w:left w:val="none" w:sz="0" w:space="0" w:color="auto"/>
            <w:bottom w:val="none" w:sz="0" w:space="0" w:color="auto"/>
            <w:right w:val="none" w:sz="0" w:space="0" w:color="auto"/>
          </w:divBdr>
        </w:div>
        <w:div w:id="1520852606">
          <w:marLeft w:val="274"/>
          <w:marRight w:val="0"/>
          <w:marTop w:val="60"/>
          <w:marBottom w:val="60"/>
          <w:divBdr>
            <w:top w:val="none" w:sz="0" w:space="0" w:color="auto"/>
            <w:left w:val="none" w:sz="0" w:space="0" w:color="auto"/>
            <w:bottom w:val="none" w:sz="0" w:space="0" w:color="auto"/>
            <w:right w:val="none" w:sz="0" w:space="0" w:color="auto"/>
          </w:divBdr>
        </w:div>
      </w:divsChild>
    </w:div>
    <w:div w:id="416902182">
      <w:bodyDiv w:val="1"/>
      <w:marLeft w:val="0"/>
      <w:marRight w:val="0"/>
      <w:marTop w:val="0"/>
      <w:marBottom w:val="0"/>
      <w:divBdr>
        <w:top w:val="none" w:sz="0" w:space="0" w:color="auto"/>
        <w:left w:val="none" w:sz="0" w:space="0" w:color="auto"/>
        <w:bottom w:val="none" w:sz="0" w:space="0" w:color="auto"/>
        <w:right w:val="none" w:sz="0" w:space="0" w:color="auto"/>
      </w:divBdr>
    </w:div>
    <w:div w:id="421024219">
      <w:bodyDiv w:val="1"/>
      <w:marLeft w:val="0"/>
      <w:marRight w:val="0"/>
      <w:marTop w:val="0"/>
      <w:marBottom w:val="0"/>
      <w:divBdr>
        <w:top w:val="none" w:sz="0" w:space="0" w:color="auto"/>
        <w:left w:val="none" w:sz="0" w:space="0" w:color="auto"/>
        <w:bottom w:val="none" w:sz="0" w:space="0" w:color="auto"/>
        <w:right w:val="none" w:sz="0" w:space="0" w:color="auto"/>
      </w:divBdr>
    </w:div>
    <w:div w:id="435060695">
      <w:bodyDiv w:val="1"/>
      <w:marLeft w:val="0"/>
      <w:marRight w:val="0"/>
      <w:marTop w:val="0"/>
      <w:marBottom w:val="0"/>
      <w:divBdr>
        <w:top w:val="none" w:sz="0" w:space="0" w:color="auto"/>
        <w:left w:val="none" w:sz="0" w:space="0" w:color="auto"/>
        <w:bottom w:val="none" w:sz="0" w:space="0" w:color="auto"/>
        <w:right w:val="none" w:sz="0" w:space="0" w:color="auto"/>
      </w:divBdr>
    </w:div>
    <w:div w:id="436758390">
      <w:bodyDiv w:val="1"/>
      <w:marLeft w:val="0"/>
      <w:marRight w:val="0"/>
      <w:marTop w:val="0"/>
      <w:marBottom w:val="0"/>
      <w:divBdr>
        <w:top w:val="none" w:sz="0" w:space="0" w:color="auto"/>
        <w:left w:val="none" w:sz="0" w:space="0" w:color="auto"/>
        <w:bottom w:val="none" w:sz="0" w:space="0" w:color="auto"/>
        <w:right w:val="none" w:sz="0" w:space="0" w:color="auto"/>
      </w:divBdr>
      <w:divsChild>
        <w:div w:id="1393653632">
          <w:marLeft w:val="274"/>
          <w:marRight w:val="0"/>
          <w:marTop w:val="60"/>
          <w:marBottom w:val="60"/>
          <w:divBdr>
            <w:top w:val="none" w:sz="0" w:space="0" w:color="auto"/>
            <w:left w:val="none" w:sz="0" w:space="0" w:color="auto"/>
            <w:bottom w:val="none" w:sz="0" w:space="0" w:color="auto"/>
            <w:right w:val="none" w:sz="0" w:space="0" w:color="auto"/>
          </w:divBdr>
        </w:div>
      </w:divsChild>
    </w:div>
    <w:div w:id="448160444">
      <w:bodyDiv w:val="1"/>
      <w:marLeft w:val="0"/>
      <w:marRight w:val="0"/>
      <w:marTop w:val="0"/>
      <w:marBottom w:val="0"/>
      <w:divBdr>
        <w:top w:val="none" w:sz="0" w:space="0" w:color="auto"/>
        <w:left w:val="none" w:sz="0" w:space="0" w:color="auto"/>
        <w:bottom w:val="none" w:sz="0" w:space="0" w:color="auto"/>
        <w:right w:val="none" w:sz="0" w:space="0" w:color="auto"/>
      </w:divBdr>
      <w:divsChild>
        <w:div w:id="1326665621">
          <w:marLeft w:val="274"/>
          <w:marRight w:val="0"/>
          <w:marTop w:val="0"/>
          <w:marBottom w:val="0"/>
          <w:divBdr>
            <w:top w:val="none" w:sz="0" w:space="0" w:color="auto"/>
            <w:left w:val="none" w:sz="0" w:space="0" w:color="auto"/>
            <w:bottom w:val="none" w:sz="0" w:space="0" w:color="auto"/>
            <w:right w:val="none" w:sz="0" w:space="0" w:color="auto"/>
          </w:divBdr>
        </w:div>
        <w:div w:id="1641422904">
          <w:marLeft w:val="274"/>
          <w:marRight w:val="0"/>
          <w:marTop w:val="0"/>
          <w:marBottom w:val="0"/>
          <w:divBdr>
            <w:top w:val="none" w:sz="0" w:space="0" w:color="auto"/>
            <w:left w:val="none" w:sz="0" w:space="0" w:color="auto"/>
            <w:bottom w:val="none" w:sz="0" w:space="0" w:color="auto"/>
            <w:right w:val="none" w:sz="0" w:space="0" w:color="auto"/>
          </w:divBdr>
        </w:div>
      </w:divsChild>
    </w:div>
    <w:div w:id="454447904">
      <w:bodyDiv w:val="1"/>
      <w:marLeft w:val="0"/>
      <w:marRight w:val="0"/>
      <w:marTop w:val="0"/>
      <w:marBottom w:val="0"/>
      <w:divBdr>
        <w:top w:val="none" w:sz="0" w:space="0" w:color="auto"/>
        <w:left w:val="none" w:sz="0" w:space="0" w:color="auto"/>
        <w:bottom w:val="none" w:sz="0" w:space="0" w:color="auto"/>
        <w:right w:val="none" w:sz="0" w:space="0" w:color="auto"/>
      </w:divBdr>
    </w:div>
    <w:div w:id="458645877">
      <w:bodyDiv w:val="1"/>
      <w:marLeft w:val="0"/>
      <w:marRight w:val="0"/>
      <w:marTop w:val="0"/>
      <w:marBottom w:val="0"/>
      <w:divBdr>
        <w:top w:val="none" w:sz="0" w:space="0" w:color="auto"/>
        <w:left w:val="none" w:sz="0" w:space="0" w:color="auto"/>
        <w:bottom w:val="none" w:sz="0" w:space="0" w:color="auto"/>
        <w:right w:val="none" w:sz="0" w:space="0" w:color="auto"/>
      </w:divBdr>
    </w:div>
    <w:div w:id="473915379">
      <w:bodyDiv w:val="1"/>
      <w:marLeft w:val="0"/>
      <w:marRight w:val="0"/>
      <w:marTop w:val="0"/>
      <w:marBottom w:val="0"/>
      <w:divBdr>
        <w:top w:val="none" w:sz="0" w:space="0" w:color="auto"/>
        <w:left w:val="none" w:sz="0" w:space="0" w:color="auto"/>
        <w:bottom w:val="none" w:sz="0" w:space="0" w:color="auto"/>
        <w:right w:val="none" w:sz="0" w:space="0" w:color="auto"/>
      </w:divBdr>
    </w:div>
    <w:div w:id="495993924">
      <w:bodyDiv w:val="1"/>
      <w:marLeft w:val="0"/>
      <w:marRight w:val="0"/>
      <w:marTop w:val="0"/>
      <w:marBottom w:val="0"/>
      <w:divBdr>
        <w:top w:val="none" w:sz="0" w:space="0" w:color="auto"/>
        <w:left w:val="none" w:sz="0" w:space="0" w:color="auto"/>
        <w:bottom w:val="none" w:sz="0" w:space="0" w:color="auto"/>
        <w:right w:val="none" w:sz="0" w:space="0" w:color="auto"/>
      </w:divBdr>
    </w:div>
    <w:div w:id="499080691">
      <w:bodyDiv w:val="1"/>
      <w:marLeft w:val="0"/>
      <w:marRight w:val="0"/>
      <w:marTop w:val="0"/>
      <w:marBottom w:val="0"/>
      <w:divBdr>
        <w:top w:val="none" w:sz="0" w:space="0" w:color="auto"/>
        <w:left w:val="none" w:sz="0" w:space="0" w:color="auto"/>
        <w:bottom w:val="none" w:sz="0" w:space="0" w:color="auto"/>
        <w:right w:val="none" w:sz="0" w:space="0" w:color="auto"/>
      </w:divBdr>
      <w:divsChild>
        <w:div w:id="425659433">
          <w:marLeft w:val="274"/>
          <w:marRight w:val="0"/>
          <w:marTop w:val="60"/>
          <w:marBottom w:val="60"/>
          <w:divBdr>
            <w:top w:val="none" w:sz="0" w:space="0" w:color="auto"/>
            <w:left w:val="none" w:sz="0" w:space="0" w:color="auto"/>
            <w:bottom w:val="none" w:sz="0" w:space="0" w:color="auto"/>
            <w:right w:val="none" w:sz="0" w:space="0" w:color="auto"/>
          </w:divBdr>
        </w:div>
        <w:div w:id="500584511">
          <w:marLeft w:val="274"/>
          <w:marRight w:val="0"/>
          <w:marTop w:val="60"/>
          <w:marBottom w:val="60"/>
          <w:divBdr>
            <w:top w:val="none" w:sz="0" w:space="0" w:color="auto"/>
            <w:left w:val="none" w:sz="0" w:space="0" w:color="auto"/>
            <w:bottom w:val="none" w:sz="0" w:space="0" w:color="auto"/>
            <w:right w:val="none" w:sz="0" w:space="0" w:color="auto"/>
          </w:divBdr>
        </w:div>
        <w:div w:id="1019234994">
          <w:marLeft w:val="562"/>
          <w:marRight w:val="0"/>
          <w:marTop w:val="60"/>
          <w:marBottom w:val="60"/>
          <w:divBdr>
            <w:top w:val="none" w:sz="0" w:space="0" w:color="auto"/>
            <w:left w:val="none" w:sz="0" w:space="0" w:color="auto"/>
            <w:bottom w:val="none" w:sz="0" w:space="0" w:color="auto"/>
            <w:right w:val="none" w:sz="0" w:space="0" w:color="auto"/>
          </w:divBdr>
        </w:div>
        <w:div w:id="1207526261">
          <w:marLeft w:val="562"/>
          <w:marRight w:val="0"/>
          <w:marTop w:val="60"/>
          <w:marBottom w:val="60"/>
          <w:divBdr>
            <w:top w:val="none" w:sz="0" w:space="0" w:color="auto"/>
            <w:left w:val="none" w:sz="0" w:space="0" w:color="auto"/>
            <w:bottom w:val="none" w:sz="0" w:space="0" w:color="auto"/>
            <w:right w:val="none" w:sz="0" w:space="0" w:color="auto"/>
          </w:divBdr>
        </w:div>
      </w:divsChild>
    </w:div>
    <w:div w:id="511992833">
      <w:bodyDiv w:val="1"/>
      <w:marLeft w:val="0"/>
      <w:marRight w:val="0"/>
      <w:marTop w:val="0"/>
      <w:marBottom w:val="0"/>
      <w:divBdr>
        <w:top w:val="none" w:sz="0" w:space="0" w:color="auto"/>
        <w:left w:val="none" w:sz="0" w:space="0" w:color="auto"/>
        <w:bottom w:val="none" w:sz="0" w:space="0" w:color="auto"/>
        <w:right w:val="none" w:sz="0" w:space="0" w:color="auto"/>
      </w:divBdr>
      <w:divsChild>
        <w:div w:id="805853348">
          <w:marLeft w:val="634"/>
          <w:marRight w:val="0"/>
          <w:marTop w:val="0"/>
          <w:marBottom w:val="0"/>
          <w:divBdr>
            <w:top w:val="none" w:sz="0" w:space="0" w:color="auto"/>
            <w:left w:val="none" w:sz="0" w:space="0" w:color="auto"/>
            <w:bottom w:val="none" w:sz="0" w:space="0" w:color="auto"/>
            <w:right w:val="none" w:sz="0" w:space="0" w:color="auto"/>
          </w:divBdr>
        </w:div>
      </w:divsChild>
    </w:div>
    <w:div w:id="521548853">
      <w:bodyDiv w:val="1"/>
      <w:marLeft w:val="0"/>
      <w:marRight w:val="0"/>
      <w:marTop w:val="0"/>
      <w:marBottom w:val="0"/>
      <w:divBdr>
        <w:top w:val="none" w:sz="0" w:space="0" w:color="auto"/>
        <w:left w:val="none" w:sz="0" w:space="0" w:color="auto"/>
        <w:bottom w:val="none" w:sz="0" w:space="0" w:color="auto"/>
        <w:right w:val="none" w:sz="0" w:space="0" w:color="auto"/>
      </w:divBdr>
    </w:div>
    <w:div w:id="522285290">
      <w:bodyDiv w:val="1"/>
      <w:marLeft w:val="0"/>
      <w:marRight w:val="0"/>
      <w:marTop w:val="0"/>
      <w:marBottom w:val="0"/>
      <w:divBdr>
        <w:top w:val="none" w:sz="0" w:space="0" w:color="auto"/>
        <w:left w:val="none" w:sz="0" w:space="0" w:color="auto"/>
        <w:bottom w:val="none" w:sz="0" w:space="0" w:color="auto"/>
        <w:right w:val="none" w:sz="0" w:space="0" w:color="auto"/>
      </w:divBdr>
    </w:div>
    <w:div w:id="523330172">
      <w:bodyDiv w:val="1"/>
      <w:marLeft w:val="0"/>
      <w:marRight w:val="0"/>
      <w:marTop w:val="0"/>
      <w:marBottom w:val="0"/>
      <w:divBdr>
        <w:top w:val="none" w:sz="0" w:space="0" w:color="auto"/>
        <w:left w:val="none" w:sz="0" w:space="0" w:color="auto"/>
        <w:bottom w:val="none" w:sz="0" w:space="0" w:color="auto"/>
        <w:right w:val="none" w:sz="0" w:space="0" w:color="auto"/>
      </w:divBdr>
    </w:div>
    <w:div w:id="550263290">
      <w:bodyDiv w:val="1"/>
      <w:marLeft w:val="0"/>
      <w:marRight w:val="0"/>
      <w:marTop w:val="0"/>
      <w:marBottom w:val="0"/>
      <w:divBdr>
        <w:top w:val="none" w:sz="0" w:space="0" w:color="auto"/>
        <w:left w:val="none" w:sz="0" w:space="0" w:color="auto"/>
        <w:bottom w:val="none" w:sz="0" w:space="0" w:color="auto"/>
        <w:right w:val="none" w:sz="0" w:space="0" w:color="auto"/>
      </w:divBdr>
      <w:divsChild>
        <w:div w:id="1497528743">
          <w:marLeft w:val="360"/>
          <w:marRight w:val="0"/>
          <w:marTop w:val="200"/>
          <w:marBottom w:val="0"/>
          <w:divBdr>
            <w:top w:val="none" w:sz="0" w:space="0" w:color="auto"/>
            <w:left w:val="none" w:sz="0" w:space="0" w:color="auto"/>
            <w:bottom w:val="none" w:sz="0" w:space="0" w:color="auto"/>
            <w:right w:val="none" w:sz="0" w:space="0" w:color="auto"/>
          </w:divBdr>
        </w:div>
        <w:div w:id="1685010516">
          <w:marLeft w:val="360"/>
          <w:marRight w:val="0"/>
          <w:marTop w:val="200"/>
          <w:marBottom w:val="0"/>
          <w:divBdr>
            <w:top w:val="none" w:sz="0" w:space="0" w:color="auto"/>
            <w:left w:val="none" w:sz="0" w:space="0" w:color="auto"/>
            <w:bottom w:val="none" w:sz="0" w:space="0" w:color="auto"/>
            <w:right w:val="none" w:sz="0" w:space="0" w:color="auto"/>
          </w:divBdr>
        </w:div>
        <w:div w:id="1764180340">
          <w:marLeft w:val="360"/>
          <w:marRight w:val="0"/>
          <w:marTop w:val="200"/>
          <w:marBottom w:val="0"/>
          <w:divBdr>
            <w:top w:val="none" w:sz="0" w:space="0" w:color="auto"/>
            <w:left w:val="none" w:sz="0" w:space="0" w:color="auto"/>
            <w:bottom w:val="none" w:sz="0" w:space="0" w:color="auto"/>
            <w:right w:val="none" w:sz="0" w:space="0" w:color="auto"/>
          </w:divBdr>
        </w:div>
        <w:div w:id="1969124899">
          <w:marLeft w:val="360"/>
          <w:marRight w:val="0"/>
          <w:marTop w:val="200"/>
          <w:marBottom w:val="0"/>
          <w:divBdr>
            <w:top w:val="none" w:sz="0" w:space="0" w:color="auto"/>
            <w:left w:val="none" w:sz="0" w:space="0" w:color="auto"/>
            <w:bottom w:val="none" w:sz="0" w:space="0" w:color="auto"/>
            <w:right w:val="none" w:sz="0" w:space="0" w:color="auto"/>
          </w:divBdr>
        </w:div>
      </w:divsChild>
    </w:div>
    <w:div w:id="567813062">
      <w:bodyDiv w:val="1"/>
      <w:marLeft w:val="0"/>
      <w:marRight w:val="0"/>
      <w:marTop w:val="0"/>
      <w:marBottom w:val="0"/>
      <w:divBdr>
        <w:top w:val="none" w:sz="0" w:space="0" w:color="auto"/>
        <w:left w:val="none" w:sz="0" w:space="0" w:color="auto"/>
        <w:bottom w:val="none" w:sz="0" w:space="0" w:color="auto"/>
        <w:right w:val="none" w:sz="0" w:space="0" w:color="auto"/>
      </w:divBdr>
    </w:div>
    <w:div w:id="586839655">
      <w:bodyDiv w:val="1"/>
      <w:marLeft w:val="0"/>
      <w:marRight w:val="0"/>
      <w:marTop w:val="0"/>
      <w:marBottom w:val="0"/>
      <w:divBdr>
        <w:top w:val="none" w:sz="0" w:space="0" w:color="auto"/>
        <w:left w:val="none" w:sz="0" w:space="0" w:color="auto"/>
        <w:bottom w:val="none" w:sz="0" w:space="0" w:color="auto"/>
        <w:right w:val="none" w:sz="0" w:space="0" w:color="auto"/>
      </w:divBdr>
    </w:div>
    <w:div w:id="589117326">
      <w:bodyDiv w:val="1"/>
      <w:marLeft w:val="0"/>
      <w:marRight w:val="0"/>
      <w:marTop w:val="0"/>
      <w:marBottom w:val="0"/>
      <w:divBdr>
        <w:top w:val="none" w:sz="0" w:space="0" w:color="auto"/>
        <w:left w:val="none" w:sz="0" w:space="0" w:color="auto"/>
        <w:bottom w:val="none" w:sz="0" w:space="0" w:color="auto"/>
        <w:right w:val="none" w:sz="0" w:space="0" w:color="auto"/>
      </w:divBdr>
    </w:div>
    <w:div w:id="591595994">
      <w:bodyDiv w:val="1"/>
      <w:marLeft w:val="0"/>
      <w:marRight w:val="0"/>
      <w:marTop w:val="0"/>
      <w:marBottom w:val="0"/>
      <w:divBdr>
        <w:top w:val="none" w:sz="0" w:space="0" w:color="auto"/>
        <w:left w:val="none" w:sz="0" w:space="0" w:color="auto"/>
        <w:bottom w:val="none" w:sz="0" w:space="0" w:color="auto"/>
        <w:right w:val="none" w:sz="0" w:space="0" w:color="auto"/>
      </w:divBdr>
      <w:divsChild>
        <w:div w:id="432870881">
          <w:marLeft w:val="360"/>
          <w:marRight w:val="0"/>
          <w:marTop w:val="200"/>
          <w:marBottom w:val="0"/>
          <w:divBdr>
            <w:top w:val="none" w:sz="0" w:space="0" w:color="auto"/>
            <w:left w:val="none" w:sz="0" w:space="0" w:color="auto"/>
            <w:bottom w:val="none" w:sz="0" w:space="0" w:color="auto"/>
            <w:right w:val="none" w:sz="0" w:space="0" w:color="auto"/>
          </w:divBdr>
        </w:div>
        <w:div w:id="575477721">
          <w:marLeft w:val="360"/>
          <w:marRight w:val="0"/>
          <w:marTop w:val="200"/>
          <w:marBottom w:val="0"/>
          <w:divBdr>
            <w:top w:val="none" w:sz="0" w:space="0" w:color="auto"/>
            <w:left w:val="none" w:sz="0" w:space="0" w:color="auto"/>
            <w:bottom w:val="none" w:sz="0" w:space="0" w:color="auto"/>
            <w:right w:val="none" w:sz="0" w:space="0" w:color="auto"/>
          </w:divBdr>
        </w:div>
        <w:div w:id="660815060">
          <w:marLeft w:val="360"/>
          <w:marRight w:val="0"/>
          <w:marTop w:val="200"/>
          <w:marBottom w:val="0"/>
          <w:divBdr>
            <w:top w:val="none" w:sz="0" w:space="0" w:color="auto"/>
            <w:left w:val="none" w:sz="0" w:space="0" w:color="auto"/>
            <w:bottom w:val="none" w:sz="0" w:space="0" w:color="auto"/>
            <w:right w:val="none" w:sz="0" w:space="0" w:color="auto"/>
          </w:divBdr>
        </w:div>
        <w:div w:id="1146052449">
          <w:marLeft w:val="360"/>
          <w:marRight w:val="0"/>
          <w:marTop w:val="200"/>
          <w:marBottom w:val="0"/>
          <w:divBdr>
            <w:top w:val="none" w:sz="0" w:space="0" w:color="auto"/>
            <w:left w:val="none" w:sz="0" w:space="0" w:color="auto"/>
            <w:bottom w:val="none" w:sz="0" w:space="0" w:color="auto"/>
            <w:right w:val="none" w:sz="0" w:space="0" w:color="auto"/>
          </w:divBdr>
        </w:div>
        <w:div w:id="1601909320">
          <w:marLeft w:val="360"/>
          <w:marRight w:val="0"/>
          <w:marTop w:val="200"/>
          <w:marBottom w:val="0"/>
          <w:divBdr>
            <w:top w:val="none" w:sz="0" w:space="0" w:color="auto"/>
            <w:left w:val="none" w:sz="0" w:space="0" w:color="auto"/>
            <w:bottom w:val="none" w:sz="0" w:space="0" w:color="auto"/>
            <w:right w:val="none" w:sz="0" w:space="0" w:color="auto"/>
          </w:divBdr>
        </w:div>
        <w:div w:id="1933122204">
          <w:marLeft w:val="360"/>
          <w:marRight w:val="0"/>
          <w:marTop w:val="200"/>
          <w:marBottom w:val="0"/>
          <w:divBdr>
            <w:top w:val="none" w:sz="0" w:space="0" w:color="auto"/>
            <w:left w:val="none" w:sz="0" w:space="0" w:color="auto"/>
            <w:bottom w:val="none" w:sz="0" w:space="0" w:color="auto"/>
            <w:right w:val="none" w:sz="0" w:space="0" w:color="auto"/>
          </w:divBdr>
        </w:div>
      </w:divsChild>
    </w:div>
    <w:div w:id="606039084">
      <w:bodyDiv w:val="1"/>
      <w:marLeft w:val="0"/>
      <w:marRight w:val="0"/>
      <w:marTop w:val="0"/>
      <w:marBottom w:val="0"/>
      <w:divBdr>
        <w:top w:val="none" w:sz="0" w:space="0" w:color="auto"/>
        <w:left w:val="none" w:sz="0" w:space="0" w:color="auto"/>
        <w:bottom w:val="none" w:sz="0" w:space="0" w:color="auto"/>
        <w:right w:val="none" w:sz="0" w:space="0" w:color="auto"/>
      </w:divBdr>
    </w:div>
    <w:div w:id="625157270">
      <w:bodyDiv w:val="1"/>
      <w:marLeft w:val="0"/>
      <w:marRight w:val="0"/>
      <w:marTop w:val="0"/>
      <w:marBottom w:val="0"/>
      <w:divBdr>
        <w:top w:val="none" w:sz="0" w:space="0" w:color="auto"/>
        <w:left w:val="none" w:sz="0" w:space="0" w:color="auto"/>
        <w:bottom w:val="none" w:sz="0" w:space="0" w:color="auto"/>
        <w:right w:val="none" w:sz="0" w:space="0" w:color="auto"/>
      </w:divBdr>
      <w:divsChild>
        <w:div w:id="167185609">
          <w:marLeft w:val="274"/>
          <w:marRight w:val="0"/>
          <w:marTop w:val="60"/>
          <w:marBottom w:val="60"/>
          <w:divBdr>
            <w:top w:val="none" w:sz="0" w:space="0" w:color="auto"/>
            <w:left w:val="none" w:sz="0" w:space="0" w:color="auto"/>
            <w:bottom w:val="none" w:sz="0" w:space="0" w:color="auto"/>
            <w:right w:val="none" w:sz="0" w:space="0" w:color="auto"/>
          </w:divBdr>
        </w:div>
        <w:div w:id="840855677">
          <w:marLeft w:val="274"/>
          <w:marRight w:val="0"/>
          <w:marTop w:val="60"/>
          <w:marBottom w:val="60"/>
          <w:divBdr>
            <w:top w:val="none" w:sz="0" w:space="0" w:color="auto"/>
            <w:left w:val="none" w:sz="0" w:space="0" w:color="auto"/>
            <w:bottom w:val="none" w:sz="0" w:space="0" w:color="auto"/>
            <w:right w:val="none" w:sz="0" w:space="0" w:color="auto"/>
          </w:divBdr>
        </w:div>
        <w:div w:id="1806653293">
          <w:marLeft w:val="274"/>
          <w:marRight w:val="0"/>
          <w:marTop w:val="60"/>
          <w:marBottom w:val="60"/>
          <w:divBdr>
            <w:top w:val="none" w:sz="0" w:space="0" w:color="auto"/>
            <w:left w:val="none" w:sz="0" w:space="0" w:color="auto"/>
            <w:bottom w:val="none" w:sz="0" w:space="0" w:color="auto"/>
            <w:right w:val="none" w:sz="0" w:space="0" w:color="auto"/>
          </w:divBdr>
        </w:div>
      </w:divsChild>
    </w:div>
    <w:div w:id="641812484">
      <w:bodyDiv w:val="1"/>
      <w:marLeft w:val="0"/>
      <w:marRight w:val="0"/>
      <w:marTop w:val="0"/>
      <w:marBottom w:val="0"/>
      <w:divBdr>
        <w:top w:val="none" w:sz="0" w:space="0" w:color="auto"/>
        <w:left w:val="none" w:sz="0" w:space="0" w:color="auto"/>
        <w:bottom w:val="none" w:sz="0" w:space="0" w:color="auto"/>
        <w:right w:val="none" w:sz="0" w:space="0" w:color="auto"/>
      </w:divBdr>
      <w:divsChild>
        <w:div w:id="1458718766">
          <w:marLeft w:val="274"/>
          <w:marRight w:val="0"/>
          <w:marTop w:val="60"/>
          <w:marBottom w:val="60"/>
          <w:divBdr>
            <w:top w:val="none" w:sz="0" w:space="0" w:color="auto"/>
            <w:left w:val="none" w:sz="0" w:space="0" w:color="auto"/>
            <w:bottom w:val="none" w:sz="0" w:space="0" w:color="auto"/>
            <w:right w:val="none" w:sz="0" w:space="0" w:color="auto"/>
          </w:divBdr>
        </w:div>
      </w:divsChild>
    </w:div>
    <w:div w:id="663776334">
      <w:bodyDiv w:val="1"/>
      <w:marLeft w:val="0"/>
      <w:marRight w:val="0"/>
      <w:marTop w:val="0"/>
      <w:marBottom w:val="0"/>
      <w:divBdr>
        <w:top w:val="none" w:sz="0" w:space="0" w:color="auto"/>
        <w:left w:val="none" w:sz="0" w:space="0" w:color="auto"/>
        <w:bottom w:val="none" w:sz="0" w:space="0" w:color="auto"/>
        <w:right w:val="none" w:sz="0" w:space="0" w:color="auto"/>
      </w:divBdr>
    </w:div>
    <w:div w:id="689179996">
      <w:bodyDiv w:val="1"/>
      <w:marLeft w:val="0"/>
      <w:marRight w:val="0"/>
      <w:marTop w:val="0"/>
      <w:marBottom w:val="0"/>
      <w:divBdr>
        <w:top w:val="none" w:sz="0" w:space="0" w:color="auto"/>
        <w:left w:val="none" w:sz="0" w:space="0" w:color="auto"/>
        <w:bottom w:val="none" w:sz="0" w:space="0" w:color="auto"/>
        <w:right w:val="none" w:sz="0" w:space="0" w:color="auto"/>
      </w:divBdr>
    </w:div>
    <w:div w:id="692222619">
      <w:bodyDiv w:val="1"/>
      <w:marLeft w:val="0"/>
      <w:marRight w:val="0"/>
      <w:marTop w:val="0"/>
      <w:marBottom w:val="0"/>
      <w:divBdr>
        <w:top w:val="none" w:sz="0" w:space="0" w:color="auto"/>
        <w:left w:val="none" w:sz="0" w:space="0" w:color="auto"/>
        <w:bottom w:val="none" w:sz="0" w:space="0" w:color="auto"/>
        <w:right w:val="none" w:sz="0" w:space="0" w:color="auto"/>
      </w:divBdr>
    </w:div>
    <w:div w:id="699432321">
      <w:bodyDiv w:val="1"/>
      <w:marLeft w:val="0"/>
      <w:marRight w:val="0"/>
      <w:marTop w:val="0"/>
      <w:marBottom w:val="0"/>
      <w:divBdr>
        <w:top w:val="none" w:sz="0" w:space="0" w:color="auto"/>
        <w:left w:val="none" w:sz="0" w:space="0" w:color="auto"/>
        <w:bottom w:val="none" w:sz="0" w:space="0" w:color="auto"/>
        <w:right w:val="none" w:sz="0" w:space="0" w:color="auto"/>
      </w:divBdr>
    </w:div>
    <w:div w:id="708797262">
      <w:bodyDiv w:val="1"/>
      <w:marLeft w:val="0"/>
      <w:marRight w:val="0"/>
      <w:marTop w:val="0"/>
      <w:marBottom w:val="0"/>
      <w:divBdr>
        <w:top w:val="none" w:sz="0" w:space="0" w:color="auto"/>
        <w:left w:val="none" w:sz="0" w:space="0" w:color="auto"/>
        <w:bottom w:val="none" w:sz="0" w:space="0" w:color="auto"/>
        <w:right w:val="none" w:sz="0" w:space="0" w:color="auto"/>
      </w:divBdr>
      <w:divsChild>
        <w:div w:id="499005692">
          <w:marLeft w:val="360"/>
          <w:marRight w:val="0"/>
          <w:marTop w:val="200"/>
          <w:marBottom w:val="0"/>
          <w:divBdr>
            <w:top w:val="none" w:sz="0" w:space="0" w:color="auto"/>
            <w:left w:val="none" w:sz="0" w:space="0" w:color="auto"/>
            <w:bottom w:val="none" w:sz="0" w:space="0" w:color="auto"/>
            <w:right w:val="none" w:sz="0" w:space="0" w:color="auto"/>
          </w:divBdr>
        </w:div>
        <w:div w:id="532303145">
          <w:marLeft w:val="360"/>
          <w:marRight w:val="0"/>
          <w:marTop w:val="200"/>
          <w:marBottom w:val="0"/>
          <w:divBdr>
            <w:top w:val="none" w:sz="0" w:space="0" w:color="auto"/>
            <w:left w:val="none" w:sz="0" w:space="0" w:color="auto"/>
            <w:bottom w:val="none" w:sz="0" w:space="0" w:color="auto"/>
            <w:right w:val="none" w:sz="0" w:space="0" w:color="auto"/>
          </w:divBdr>
        </w:div>
      </w:divsChild>
    </w:div>
    <w:div w:id="719281884">
      <w:bodyDiv w:val="1"/>
      <w:marLeft w:val="0"/>
      <w:marRight w:val="0"/>
      <w:marTop w:val="0"/>
      <w:marBottom w:val="0"/>
      <w:divBdr>
        <w:top w:val="none" w:sz="0" w:space="0" w:color="auto"/>
        <w:left w:val="none" w:sz="0" w:space="0" w:color="auto"/>
        <w:bottom w:val="none" w:sz="0" w:space="0" w:color="auto"/>
        <w:right w:val="none" w:sz="0" w:space="0" w:color="auto"/>
      </w:divBdr>
    </w:div>
    <w:div w:id="720401672">
      <w:bodyDiv w:val="1"/>
      <w:marLeft w:val="0"/>
      <w:marRight w:val="0"/>
      <w:marTop w:val="0"/>
      <w:marBottom w:val="0"/>
      <w:divBdr>
        <w:top w:val="none" w:sz="0" w:space="0" w:color="auto"/>
        <w:left w:val="none" w:sz="0" w:space="0" w:color="auto"/>
        <w:bottom w:val="none" w:sz="0" w:space="0" w:color="auto"/>
        <w:right w:val="none" w:sz="0" w:space="0" w:color="auto"/>
      </w:divBdr>
    </w:div>
    <w:div w:id="726607086">
      <w:bodyDiv w:val="1"/>
      <w:marLeft w:val="0"/>
      <w:marRight w:val="0"/>
      <w:marTop w:val="0"/>
      <w:marBottom w:val="0"/>
      <w:divBdr>
        <w:top w:val="none" w:sz="0" w:space="0" w:color="auto"/>
        <w:left w:val="none" w:sz="0" w:space="0" w:color="auto"/>
        <w:bottom w:val="none" w:sz="0" w:space="0" w:color="auto"/>
        <w:right w:val="none" w:sz="0" w:space="0" w:color="auto"/>
      </w:divBdr>
    </w:div>
    <w:div w:id="743915254">
      <w:bodyDiv w:val="1"/>
      <w:marLeft w:val="0"/>
      <w:marRight w:val="0"/>
      <w:marTop w:val="0"/>
      <w:marBottom w:val="0"/>
      <w:divBdr>
        <w:top w:val="none" w:sz="0" w:space="0" w:color="auto"/>
        <w:left w:val="none" w:sz="0" w:space="0" w:color="auto"/>
        <w:bottom w:val="none" w:sz="0" w:space="0" w:color="auto"/>
        <w:right w:val="none" w:sz="0" w:space="0" w:color="auto"/>
      </w:divBdr>
    </w:div>
    <w:div w:id="804348694">
      <w:bodyDiv w:val="1"/>
      <w:marLeft w:val="0"/>
      <w:marRight w:val="0"/>
      <w:marTop w:val="0"/>
      <w:marBottom w:val="0"/>
      <w:divBdr>
        <w:top w:val="none" w:sz="0" w:space="0" w:color="auto"/>
        <w:left w:val="none" w:sz="0" w:space="0" w:color="auto"/>
        <w:bottom w:val="none" w:sz="0" w:space="0" w:color="auto"/>
        <w:right w:val="none" w:sz="0" w:space="0" w:color="auto"/>
      </w:divBdr>
      <w:divsChild>
        <w:div w:id="616184157">
          <w:marLeft w:val="360"/>
          <w:marRight w:val="0"/>
          <w:marTop w:val="200"/>
          <w:marBottom w:val="0"/>
          <w:divBdr>
            <w:top w:val="none" w:sz="0" w:space="0" w:color="auto"/>
            <w:left w:val="none" w:sz="0" w:space="0" w:color="auto"/>
            <w:bottom w:val="none" w:sz="0" w:space="0" w:color="auto"/>
            <w:right w:val="none" w:sz="0" w:space="0" w:color="auto"/>
          </w:divBdr>
        </w:div>
      </w:divsChild>
    </w:div>
    <w:div w:id="864321303">
      <w:bodyDiv w:val="1"/>
      <w:marLeft w:val="0"/>
      <w:marRight w:val="0"/>
      <w:marTop w:val="0"/>
      <w:marBottom w:val="0"/>
      <w:divBdr>
        <w:top w:val="none" w:sz="0" w:space="0" w:color="auto"/>
        <w:left w:val="none" w:sz="0" w:space="0" w:color="auto"/>
        <w:bottom w:val="none" w:sz="0" w:space="0" w:color="auto"/>
        <w:right w:val="none" w:sz="0" w:space="0" w:color="auto"/>
      </w:divBdr>
    </w:div>
    <w:div w:id="881600128">
      <w:bodyDiv w:val="1"/>
      <w:marLeft w:val="0"/>
      <w:marRight w:val="0"/>
      <w:marTop w:val="0"/>
      <w:marBottom w:val="0"/>
      <w:divBdr>
        <w:top w:val="none" w:sz="0" w:space="0" w:color="auto"/>
        <w:left w:val="none" w:sz="0" w:space="0" w:color="auto"/>
        <w:bottom w:val="none" w:sz="0" w:space="0" w:color="auto"/>
        <w:right w:val="none" w:sz="0" w:space="0" w:color="auto"/>
      </w:divBdr>
    </w:div>
    <w:div w:id="903100940">
      <w:bodyDiv w:val="1"/>
      <w:marLeft w:val="0"/>
      <w:marRight w:val="0"/>
      <w:marTop w:val="0"/>
      <w:marBottom w:val="0"/>
      <w:divBdr>
        <w:top w:val="none" w:sz="0" w:space="0" w:color="auto"/>
        <w:left w:val="none" w:sz="0" w:space="0" w:color="auto"/>
        <w:bottom w:val="none" w:sz="0" w:space="0" w:color="auto"/>
        <w:right w:val="none" w:sz="0" w:space="0" w:color="auto"/>
      </w:divBdr>
      <w:divsChild>
        <w:div w:id="898248205">
          <w:marLeft w:val="360"/>
          <w:marRight w:val="0"/>
          <w:marTop w:val="60"/>
          <w:marBottom w:val="60"/>
          <w:divBdr>
            <w:top w:val="none" w:sz="0" w:space="0" w:color="auto"/>
            <w:left w:val="none" w:sz="0" w:space="0" w:color="auto"/>
            <w:bottom w:val="none" w:sz="0" w:space="0" w:color="auto"/>
            <w:right w:val="none" w:sz="0" w:space="0" w:color="auto"/>
          </w:divBdr>
        </w:div>
        <w:div w:id="1233392783">
          <w:marLeft w:val="360"/>
          <w:marRight w:val="0"/>
          <w:marTop w:val="60"/>
          <w:marBottom w:val="60"/>
          <w:divBdr>
            <w:top w:val="none" w:sz="0" w:space="0" w:color="auto"/>
            <w:left w:val="none" w:sz="0" w:space="0" w:color="auto"/>
            <w:bottom w:val="none" w:sz="0" w:space="0" w:color="auto"/>
            <w:right w:val="none" w:sz="0" w:space="0" w:color="auto"/>
          </w:divBdr>
        </w:div>
      </w:divsChild>
    </w:div>
    <w:div w:id="906377877">
      <w:bodyDiv w:val="1"/>
      <w:marLeft w:val="0"/>
      <w:marRight w:val="0"/>
      <w:marTop w:val="0"/>
      <w:marBottom w:val="0"/>
      <w:divBdr>
        <w:top w:val="none" w:sz="0" w:space="0" w:color="auto"/>
        <w:left w:val="none" w:sz="0" w:space="0" w:color="auto"/>
        <w:bottom w:val="none" w:sz="0" w:space="0" w:color="auto"/>
        <w:right w:val="none" w:sz="0" w:space="0" w:color="auto"/>
      </w:divBdr>
    </w:div>
    <w:div w:id="908423559">
      <w:bodyDiv w:val="1"/>
      <w:marLeft w:val="0"/>
      <w:marRight w:val="0"/>
      <w:marTop w:val="0"/>
      <w:marBottom w:val="0"/>
      <w:divBdr>
        <w:top w:val="none" w:sz="0" w:space="0" w:color="auto"/>
        <w:left w:val="none" w:sz="0" w:space="0" w:color="auto"/>
        <w:bottom w:val="none" w:sz="0" w:space="0" w:color="auto"/>
        <w:right w:val="none" w:sz="0" w:space="0" w:color="auto"/>
      </w:divBdr>
    </w:div>
    <w:div w:id="911041856">
      <w:bodyDiv w:val="1"/>
      <w:marLeft w:val="0"/>
      <w:marRight w:val="0"/>
      <w:marTop w:val="0"/>
      <w:marBottom w:val="0"/>
      <w:divBdr>
        <w:top w:val="none" w:sz="0" w:space="0" w:color="auto"/>
        <w:left w:val="none" w:sz="0" w:space="0" w:color="auto"/>
        <w:bottom w:val="none" w:sz="0" w:space="0" w:color="auto"/>
        <w:right w:val="none" w:sz="0" w:space="0" w:color="auto"/>
      </w:divBdr>
    </w:div>
    <w:div w:id="922451011">
      <w:bodyDiv w:val="1"/>
      <w:marLeft w:val="0"/>
      <w:marRight w:val="0"/>
      <w:marTop w:val="0"/>
      <w:marBottom w:val="0"/>
      <w:divBdr>
        <w:top w:val="none" w:sz="0" w:space="0" w:color="auto"/>
        <w:left w:val="none" w:sz="0" w:space="0" w:color="auto"/>
        <w:bottom w:val="none" w:sz="0" w:space="0" w:color="auto"/>
        <w:right w:val="none" w:sz="0" w:space="0" w:color="auto"/>
      </w:divBdr>
    </w:div>
    <w:div w:id="925768813">
      <w:bodyDiv w:val="1"/>
      <w:marLeft w:val="0"/>
      <w:marRight w:val="0"/>
      <w:marTop w:val="0"/>
      <w:marBottom w:val="0"/>
      <w:divBdr>
        <w:top w:val="none" w:sz="0" w:space="0" w:color="auto"/>
        <w:left w:val="none" w:sz="0" w:space="0" w:color="auto"/>
        <w:bottom w:val="none" w:sz="0" w:space="0" w:color="auto"/>
        <w:right w:val="none" w:sz="0" w:space="0" w:color="auto"/>
      </w:divBdr>
      <w:divsChild>
        <w:div w:id="414016121">
          <w:marLeft w:val="360"/>
          <w:marRight w:val="0"/>
          <w:marTop w:val="200"/>
          <w:marBottom w:val="0"/>
          <w:divBdr>
            <w:top w:val="none" w:sz="0" w:space="0" w:color="auto"/>
            <w:left w:val="none" w:sz="0" w:space="0" w:color="auto"/>
            <w:bottom w:val="none" w:sz="0" w:space="0" w:color="auto"/>
            <w:right w:val="none" w:sz="0" w:space="0" w:color="auto"/>
          </w:divBdr>
        </w:div>
        <w:div w:id="601307382">
          <w:marLeft w:val="360"/>
          <w:marRight w:val="0"/>
          <w:marTop w:val="200"/>
          <w:marBottom w:val="0"/>
          <w:divBdr>
            <w:top w:val="none" w:sz="0" w:space="0" w:color="auto"/>
            <w:left w:val="none" w:sz="0" w:space="0" w:color="auto"/>
            <w:bottom w:val="none" w:sz="0" w:space="0" w:color="auto"/>
            <w:right w:val="none" w:sz="0" w:space="0" w:color="auto"/>
          </w:divBdr>
        </w:div>
        <w:div w:id="1413743000">
          <w:marLeft w:val="360"/>
          <w:marRight w:val="0"/>
          <w:marTop w:val="200"/>
          <w:marBottom w:val="0"/>
          <w:divBdr>
            <w:top w:val="none" w:sz="0" w:space="0" w:color="auto"/>
            <w:left w:val="none" w:sz="0" w:space="0" w:color="auto"/>
            <w:bottom w:val="none" w:sz="0" w:space="0" w:color="auto"/>
            <w:right w:val="none" w:sz="0" w:space="0" w:color="auto"/>
          </w:divBdr>
        </w:div>
      </w:divsChild>
    </w:div>
    <w:div w:id="939029343">
      <w:bodyDiv w:val="1"/>
      <w:marLeft w:val="0"/>
      <w:marRight w:val="0"/>
      <w:marTop w:val="0"/>
      <w:marBottom w:val="0"/>
      <w:divBdr>
        <w:top w:val="none" w:sz="0" w:space="0" w:color="auto"/>
        <w:left w:val="none" w:sz="0" w:space="0" w:color="auto"/>
        <w:bottom w:val="none" w:sz="0" w:space="0" w:color="auto"/>
        <w:right w:val="none" w:sz="0" w:space="0" w:color="auto"/>
      </w:divBdr>
    </w:div>
    <w:div w:id="941375610">
      <w:bodyDiv w:val="1"/>
      <w:marLeft w:val="0"/>
      <w:marRight w:val="0"/>
      <w:marTop w:val="0"/>
      <w:marBottom w:val="0"/>
      <w:divBdr>
        <w:top w:val="none" w:sz="0" w:space="0" w:color="auto"/>
        <w:left w:val="none" w:sz="0" w:space="0" w:color="auto"/>
        <w:bottom w:val="none" w:sz="0" w:space="0" w:color="auto"/>
        <w:right w:val="none" w:sz="0" w:space="0" w:color="auto"/>
      </w:divBdr>
      <w:divsChild>
        <w:div w:id="526145073">
          <w:marLeft w:val="274"/>
          <w:marRight w:val="0"/>
          <w:marTop w:val="0"/>
          <w:marBottom w:val="0"/>
          <w:divBdr>
            <w:top w:val="none" w:sz="0" w:space="0" w:color="auto"/>
            <w:left w:val="none" w:sz="0" w:space="0" w:color="auto"/>
            <w:bottom w:val="none" w:sz="0" w:space="0" w:color="auto"/>
            <w:right w:val="none" w:sz="0" w:space="0" w:color="auto"/>
          </w:divBdr>
        </w:div>
        <w:div w:id="1928725949">
          <w:marLeft w:val="274"/>
          <w:marRight w:val="0"/>
          <w:marTop w:val="0"/>
          <w:marBottom w:val="0"/>
          <w:divBdr>
            <w:top w:val="none" w:sz="0" w:space="0" w:color="auto"/>
            <w:left w:val="none" w:sz="0" w:space="0" w:color="auto"/>
            <w:bottom w:val="none" w:sz="0" w:space="0" w:color="auto"/>
            <w:right w:val="none" w:sz="0" w:space="0" w:color="auto"/>
          </w:divBdr>
        </w:div>
      </w:divsChild>
    </w:div>
    <w:div w:id="964652330">
      <w:bodyDiv w:val="1"/>
      <w:marLeft w:val="0"/>
      <w:marRight w:val="0"/>
      <w:marTop w:val="0"/>
      <w:marBottom w:val="0"/>
      <w:divBdr>
        <w:top w:val="none" w:sz="0" w:space="0" w:color="auto"/>
        <w:left w:val="none" w:sz="0" w:space="0" w:color="auto"/>
        <w:bottom w:val="none" w:sz="0" w:space="0" w:color="auto"/>
        <w:right w:val="none" w:sz="0" w:space="0" w:color="auto"/>
      </w:divBdr>
    </w:div>
    <w:div w:id="965740325">
      <w:bodyDiv w:val="1"/>
      <w:marLeft w:val="0"/>
      <w:marRight w:val="0"/>
      <w:marTop w:val="0"/>
      <w:marBottom w:val="0"/>
      <w:divBdr>
        <w:top w:val="none" w:sz="0" w:space="0" w:color="auto"/>
        <w:left w:val="none" w:sz="0" w:space="0" w:color="auto"/>
        <w:bottom w:val="none" w:sz="0" w:space="0" w:color="auto"/>
        <w:right w:val="none" w:sz="0" w:space="0" w:color="auto"/>
      </w:divBdr>
    </w:div>
    <w:div w:id="987562486">
      <w:bodyDiv w:val="1"/>
      <w:marLeft w:val="0"/>
      <w:marRight w:val="0"/>
      <w:marTop w:val="0"/>
      <w:marBottom w:val="0"/>
      <w:divBdr>
        <w:top w:val="none" w:sz="0" w:space="0" w:color="auto"/>
        <w:left w:val="none" w:sz="0" w:space="0" w:color="auto"/>
        <w:bottom w:val="none" w:sz="0" w:space="0" w:color="auto"/>
        <w:right w:val="none" w:sz="0" w:space="0" w:color="auto"/>
      </w:divBdr>
      <w:divsChild>
        <w:div w:id="479541192">
          <w:marLeft w:val="274"/>
          <w:marRight w:val="0"/>
          <w:marTop w:val="0"/>
          <w:marBottom w:val="0"/>
          <w:divBdr>
            <w:top w:val="none" w:sz="0" w:space="0" w:color="auto"/>
            <w:left w:val="none" w:sz="0" w:space="0" w:color="auto"/>
            <w:bottom w:val="none" w:sz="0" w:space="0" w:color="auto"/>
            <w:right w:val="none" w:sz="0" w:space="0" w:color="auto"/>
          </w:divBdr>
        </w:div>
        <w:div w:id="1828941219">
          <w:marLeft w:val="274"/>
          <w:marRight w:val="0"/>
          <w:marTop w:val="0"/>
          <w:marBottom w:val="0"/>
          <w:divBdr>
            <w:top w:val="none" w:sz="0" w:space="0" w:color="auto"/>
            <w:left w:val="none" w:sz="0" w:space="0" w:color="auto"/>
            <w:bottom w:val="none" w:sz="0" w:space="0" w:color="auto"/>
            <w:right w:val="none" w:sz="0" w:space="0" w:color="auto"/>
          </w:divBdr>
        </w:div>
      </w:divsChild>
    </w:div>
    <w:div w:id="1003123803">
      <w:bodyDiv w:val="1"/>
      <w:marLeft w:val="0"/>
      <w:marRight w:val="0"/>
      <w:marTop w:val="0"/>
      <w:marBottom w:val="0"/>
      <w:divBdr>
        <w:top w:val="none" w:sz="0" w:space="0" w:color="auto"/>
        <w:left w:val="none" w:sz="0" w:space="0" w:color="auto"/>
        <w:bottom w:val="none" w:sz="0" w:space="0" w:color="auto"/>
        <w:right w:val="none" w:sz="0" w:space="0" w:color="auto"/>
      </w:divBdr>
    </w:div>
    <w:div w:id="1004825597">
      <w:bodyDiv w:val="1"/>
      <w:marLeft w:val="0"/>
      <w:marRight w:val="0"/>
      <w:marTop w:val="0"/>
      <w:marBottom w:val="0"/>
      <w:divBdr>
        <w:top w:val="none" w:sz="0" w:space="0" w:color="auto"/>
        <w:left w:val="none" w:sz="0" w:space="0" w:color="auto"/>
        <w:bottom w:val="none" w:sz="0" w:space="0" w:color="auto"/>
        <w:right w:val="none" w:sz="0" w:space="0" w:color="auto"/>
      </w:divBdr>
    </w:div>
    <w:div w:id="1010982893">
      <w:bodyDiv w:val="1"/>
      <w:marLeft w:val="0"/>
      <w:marRight w:val="0"/>
      <w:marTop w:val="0"/>
      <w:marBottom w:val="0"/>
      <w:divBdr>
        <w:top w:val="none" w:sz="0" w:space="0" w:color="auto"/>
        <w:left w:val="none" w:sz="0" w:space="0" w:color="auto"/>
        <w:bottom w:val="none" w:sz="0" w:space="0" w:color="auto"/>
        <w:right w:val="none" w:sz="0" w:space="0" w:color="auto"/>
      </w:divBdr>
    </w:div>
    <w:div w:id="1023049413">
      <w:bodyDiv w:val="1"/>
      <w:marLeft w:val="0"/>
      <w:marRight w:val="0"/>
      <w:marTop w:val="0"/>
      <w:marBottom w:val="0"/>
      <w:divBdr>
        <w:top w:val="none" w:sz="0" w:space="0" w:color="auto"/>
        <w:left w:val="none" w:sz="0" w:space="0" w:color="auto"/>
        <w:bottom w:val="none" w:sz="0" w:space="0" w:color="auto"/>
        <w:right w:val="none" w:sz="0" w:space="0" w:color="auto"/>
      </w:divBdr>
    </w:div>
    <w:div w:id="1026101486">
      <w:bodyDiv w:val="1"/>
      <w:marLeft w:val="0"/>
      <w:marRight w:val="0"/>
      <w:marTop w:val="0"/>
      <w:marBottom w:val="0"/>
      <w:divBdr>
        <w:top w:val="none" w:sz="0" w:space="0" w:color="auto"/>
        <w:left w:val="none" w:sz="0" w:space="0" w:color="auto"/>
        <w:bottom w:val="none" w:sz="0" w:space="0" w:color="auto"/>
        <w:right w:val="none" w:sz="0" w:space="0" w:color="auto"/>
      </w:divBdr>
      <w:divsChild>
        <w:div w:id="2587852">
          <w:marLeft w:val="274"/>
          <w:marRight w:val="0"/>
          <w:marTop w:val="0"/>
          <w:marBottom w:val="0"/>
          <w:divBdr>
            <w:top w:val="none" w:sz="0" w:space="0" w:color="auto"/>
            <w:left w:val="none" w:sz="0" w:space="0" w:color="auto"/>
            <w:bottom w:val="none" w:sz="0" w:space="0" w:color="auto"/>
            <w:right w:val="none" w:sz="0" w:space="0" w:color="auto"/>
          </w:divBdr>
        </w:div>
      </w:divsChild>
    </w:div>
    <w:div w:id="1045638232">
      <w:bodyDiv w:val="1"/>
      <w:marLeft w:val="0"/>
      <w:marRight w:val="0"/>
      <w:marTop w:val="0"/>
      <w:marBottom w:val="0"/>
      <w:divBdr>
        <w:top w:val="none" w:sz="0" w:space="0" w:color="auto"/>
        <w:left w:val="none" w:sz="0" w:space="0" w:color="auto"/>
        <w:bottom w:val="none" w:sz="0" w:space="0" w:color="auto"/>
        <w:right w:val="none" w:sz="0" w:space="0" w:color="auto"/>
      </w:divBdr>
      <w:divsChild>
        <w:div w:id="280457322">
          <w:marLeft w:val="446"/>
          <w:marRight w:val="0"/>
          <w:marTop w:val="120"/>
          <w:marBottom w:val="120"/>
          <w:divBdr>
            <w:top w:val="none" w:sz="0" w:space="0" w:color="auto"/>
            <w:left w:val="none" w:sz="0" w:space="0" w:color="auto"/>
            <w:bottom w:val="none" w:sz="0" w:space="0" w:color="auto"/>
            <w:right w:val="none" w:sz="0" w:space="0" w:color="auto"/>
          </w:divBdr>
        </w:div>
        <w:div w:id="548804148">
          <w:marLeft w:val="446"/>
          <w:marRight w:val="0"/>
          <w:marTop w:val="120"/>
          <w:marBottom w:val="120"/>
          <w:divBdr>
            <w:top w:val="none" w:sz="0" w:space="0" w:color="auto"/>
            <w:left w:val="none" w:sz="0" w:space="0" w:color="auto"/>
            <w:bottom w:val="none" w:sz="0" w:space="0" w:color="auto"/>
            <w:right w:val="none" w:sz="0" w:space="0" w:color="auto"/>
          </w:divBdr>
        </w:div>
        <w:div w:id="966472639">
          <w:marLeft w:val="446"/>
          <w:marRight w:val="0"/>
          <w:marTop w:val="120"/>
          <w:marBottom w:val="120"/>
          <w:divBdr>
            <w:top w:val="none" w:sz="0" w:space="0" w:color="auto"/>
            <w:left w:val="none" w:sz="0" w:space="0" w:color="auto"/>
            <w:bottom w:val="none" w:sz="0" w:space="0" w:color="auto"/>
            <w:right w:val="none" w:sz="0" w:space="0" w:color="auto"/>
          </w:divBdr>
        </w:div>
      </w:divsChild>
    </w:div>
    <w:div w:id="1051346222">
      <w:bodyDiv w:val="1"/>
      <w:marLeft w:val="0"/>
      <w:marRight w:val="0"/>
      <w:marTop w:val="0"/>
      <w:marBottom w:val="0"/>
      <w:divBdr>
        <w:top w:val="none" w:sz="0" w:space="0" w:color="auto"/>
        <w:left w:val="none" w:sz="0" w:space="0" w:color="auto"/>
        <w:bottom w:val="none" w:sz="0" w:space="0" w:color="auto"/>
        <w:right w:val="none" w:sz="0" w:space="0" w:color="auto"/>
      </w:divBdr>
      <w:divsChild>
        <w:div w:id="145556725">
          <w:marLeft w:val="360"/>
          <w:marRight w:val="0"/>
          <w:marTop w:val="200"/>
          <w:marBottom w:val="0"/>
          <w:divBdr>
            <w:top w:val="none" w:sz="0" w:space="0" w:color="auto"/>
            <w:left w:val="none" w:sz="0" w:space="0" w:color="auto"/>
            <w:bottom w:val="none" w:sz="0" w:space="0" w:color="auto"/>
            <w:right w:val="none" w:sz="0" w:space="0" w:color="auto"/>
          </w:divBdr>
        </w:div>
        <w:div w:id="320012925">
          <w:marLeft w:val="360"/>
          <w:marRight w:val="0"/>
          <w:marTop w:val="200"/>
          <w:marBottom w:val="0"/>
          <w:divBdr>
            <w:top w:val="none" w:sz="0" w:space="0" w:color="auto"/>
            <w:left w:val="none" w:sz="0" w:space="0" w:color="auto"/>
            <w:bottom w:val="none" w:sz="0" w:space="0" w:color="auto"/>
            <w:right w:val="none" w:sz="0" w:space="0" w:color="auto"/>
          </w:divBdr>
        </w:div>
        <w:div w:id="1319266071">
          <w:marLeft w:val="1080"/>
          <w:marRight w:val="0"/>
          <w:marTop w:val="100"/>
          <w:marBottom w:val="0"/>
          <w:divBdr>
            <w:top w:val="none" w:sz="0" w:space="0" w:color="auto"/>
            <w:left w:val="none" w:sz="0" w:space="0" w:color="auto"/>
            <w:bottom w:val="none" w:sz="0" w:space="0" w:color="auto"/>
            <w:right w:val="none" w:sz="0" w:space="0" w:color="auto"/>
          </w:divBdr>
        </w:div>
        <w:div w:id="1702322352">
          <w:marLeft w:val="360"/>
          <w:marRight w:val="0"/>
          <w:marTop w:val="200"/>
          <w:marBottom w:val="0"/>
          <w:divBdr>
            <w:top w:val="none" w:sz="0" w:space="0" w:color="auto"/>
            <w:left w:val="none" w:sz="0" w:space="0" w:color="auto"/>
            <w:bottom w:val="none" w:sz="0" w:space="0" w:color="auto"/>
            <w:right w:val="none" w:sz="0" w:space="0" w:color="auto"/>
          </w:divBdr>
        </w:div>
      </w:divsChild>
    </w:div>
    <w:div w:id="1100637662">
      <w:bodyDiv w:val="1"/>
      <w:marLeft w:val="0"/>
      <w:marRight w:val="0"/>
      <w:marTop w:val="0"/>
      <w:marBottom w:val="0"/>
      <w:divBdr>
        <w:top w:val="none" w:sz="0" w:space="0" w:color="auto"/>
        <w:left w:val="none" w:sz="0" w:space="0" w:color="auto"/>
        <w:bottom w:val="none" w:sz="0" w:space="0" w:color="auto"/>
        <w:right w:val="none" w:sz="0" w:space="0" w:color="auto"/>
      </w:divBdr>
      <w:divsChild>
        <w:div w:id="369257604">
          <w:marLeft w:val="562"/>
          <w:marRight w:val="0"/>
          <w:marTop w:val="60"/>
          <w:marBottom w:val="60"/>
          <w:divBdr>
            <w:top w:val="none" w:sz="0" w:space="0" w:color="auto"/>
            <w:left w:val="none" w:sz="0" w:space="0" w:color="auto"/>
            <w:bottom w:val="none" w:sz="0" w:space="0" w:color="auto"/>
            <w:right w:val="none" w:sz="0" w:space="0" w:color="auto"/>
          </w:divBdr>
        </w:div>
        <w:div w:id="741414505">
          <w:marLeft w:val="562"/>
          <w:marRight w:val="0"/>
          <w:marTop w:val="60"/>
          <w:marBottom w:val="60"/>
          <w:divBdr>
            <w:top w:val="none" w:sz="0" w:space="0" w:color="auto"/>
            <w:left w:val="none" w:sz="0" w:space="0" w:color="auto"/>
            <w:bottom w:val="none" w:sz="0" w:space="0" w:color="auto"/>
            <w:right w:val="none" w:sz="0" w:space="0" w:color="auto"/>
          </w:divBdr>
        </w:div>
        <w:div w:id="1103302835">
          <w:marLeft w:val="562"/>
          <w:marRight w:val="0"/>
          <w:marTop w:val="60"/>
          <w:marBottom w:val="60"/>
          <w:divBdr>
            <w:top w:val="none" w:sz="0" w:space="0" w:color="auto"/>
            <w:left w:val="none" w:sz="0" w:space="0" w:color="auto"/>
            <w:bottom w:val="none" w:sz="0" w:space="0" w:color="auto"/>
            <w:right w:val="none" w:sz="0" w:space="0" w:color="auto"/>
          </w:divBdr>
        </w:div>
        <w:div w:id="1446582427">
          <w:marLeft w:val="562"/>
          <w:marRight w:val="0"/>
          <w:marTop w:val="60"/>
          <w:marBottom w:val="60"/>
          <w:divBdr>
            <w:top w:val="none" w:sz="0" w:space="0" w:color="auto"/>
            <w:left w:val="none" w:sz="0" w:space="0" w:color="auto"/>
            <w:bottom w:val="none" w:sz="0" w:space="0" w:color="auto"/>
            <w:right w:val="none" w:sz="0" w:space="0" w:color="auto"/>
          </w:divBdr>
        </w:div>
      </w:divsChild>
    </w:div>
    <w:div w:id="1104417965">
      <w:bodyDiv w:val="1"/>
      <w:marLeft w:val="0"/>
      <w:marRight w:val="0"/>
      <w:marTop w:val="0"/>
      <w:marBottom w:val="0"/>
      <w:divBdr>
        <w:top w:val="none" w:sz="0" w:space="0" w:color="auto"/>
        <w:left w:val="none" w:sz="0" w:space="0" w:color="auto"/>
        <w:bottom w:val="none" w:sz="0" w:space="0" w:color="auto"/>
        <w:right w:val="none" w:sz="0" w:space="0" w:color="auto"/>
      </w:divBdr>
      <w:divsChild>
        <w:div w:id="1327977479">
          <w:marLeft w:val="274"/>
          <w:marRight w:val="0"/>
          <w:marTop w:val="0"/>
          <w:marBottom w:val="0"/>
          <w:divBdr>
            <w:top w:val="none" w:sz="0" w:space="0" w:color="auto"/>
            <w:left w:val="none" w:sz="0" w:space="0" w:color="auto"/>
            <w:bottom w:val="none" w:sz="0" w:space="0" w:color="auto"/>
            <w:right w:val="none" w:sz="0" w:space="0" w:color="auto"/>
          </w:divBdr>
        </w:div>
      </w:divsChild>
    </w:div>
    <w:div w:id="1118138712">
      <w:bodyDiv w:val="1"/>
      <w:marLeft w:val="0"/>
      <w:marRight w:val="0"/>
      <w:marTop w:val="0"/>
      <w:marBottom w:val="0"/>
      <w:divBdr>
        <w:top w:val="none" w:sz="0" w:space="0" w:color="auto"/>
        <w:left w:val="none" w:sz="0" w:space="0" w:color="auto"/>
        <w:bottom w:val="none" w:sz="0" w:space="0" w:color="auto"/>
        <w:right w:val="none" w:sz="0" w:space="0" w:color="auto"/>
      </w:divBdr>
    </w:div>
    <w:div w:id="1132093120">
      <w:bodyDiv w:val="1"/>
      <w:marLeft w:val="0"/>
      <w:marRight w:val="0"/>
      <w:marTop w:val="0"/>
      <w:marBottom w:val="0"/>
      <w:divBdr>
        <w:top w:val="none" w:sz="0" w:space="0" w:color="auto"/>
        <w:left w:val="none" w:sz="0" w:space="0" w:color="auto"/>
        <w:bottom w:val="none" w:sz="0" w:space="0" w:color="auto"/>
        <w:right w:val="none" w:sz="0" w:space="0" w:color="auto"/>
      </w:divBdr>
    </w:div>
    <w:div w:id="1142818897">
      <w:bodyDiv w:val="1"/>
      <w:marLeft w:val="0"/>
      <w:marRight w:val="0"/>
      <w:marTop w:val="0"/>
      <w:marBottom w:val="0"/>
      <w:divBdr>
        <w:top w:val="none" w:sz="0" w:space="0" w:color="auto"/>
        <w:left w:val="none" w:sz="0" w:space="0" w:color="auto"/>
        <w:bottom w:val="none" w:sz="0" w:space="0" w:color="auto"/>
        <w:right w:val="none" w:sz="0" w:space="0" w:color="auto"/>
      </w:divBdr>
      <w:divsChild>
        <w:div w:id="1143503972">
          <w:marLeft w:val="274"/>
          <w:marRight w:val="0"/>
          <w:marTop w:val="120"/>
          <w:marBottom w:val="120"/>
          <w:divBdr>
            <w:top w:val="none" w:sz="0" w:space="0" w:color="auto"/>
            <w:left w:val="none" w:sz="0" w:space="0" w:color="auto"/>
            <w:bottom w:val="none" w:sz="0" w:space="0" w:color="auto"/>
            <w:right w:val="none" w:sz="0" w:space="0" w:color="auto"/>
          </w:divBdr>
        </w:div>
        <w:div w:id="1325352416">
          <w:marLeft w:val="274"/>
          <w:marRight w:val="0"/>
          <w:marTop w:val="120"/>
          <w:marBottom w:val="120"/>
          <w:divBdr>
            <w:top w:val="none" w:sz="0" w:space="0" w:color="auto"/>
            <w:left w:val="none" w:sz="0" w:space="0" w:color="auto"/>
            <w:bottom w:val="none" w:sz="0" w:space="0" w:color="auto"/>
            <w:right w:val="none" w:sz="0" w:space="0" w:color="auto"/>
          </w:divBdr>
        </w:div>
        <w:div w:id="1457793544">
          <w:marLeft w:val="274"/>
          <w:marRight w:val="0"/>
          <w:marTop w:val="120"/>
          <w:marBottom w:val="120"/>
          <w:divBdr>
            <w:top w:val="none" w:sz="0" w:space="0" w:color="auto"/>
            <w:left w:val="none" w:sz="0" w:space="0" w:color="auto"/>
            <w:bottom w:val="none" w:sz="0" w:space="0" w:color="auto"/>
            <w:right w:val="none" w:sz="0" w:space="0" w:color="auto"/>
          </w:divBdr>
        </w:div>
        <w:div w:id="1531529393">
          <w:marLeft w:val="274"/>
          <w:marRight w:val="0"/>
          <w:marTop w:val="120"/>
          <w:marBottom w:val="120"/>
          <w:divBdr>
            <w:top w:val="none" w:sz="0" w:space="0" w:color="auto"/>
            <w:left w:val="none" w:sz="0" w:space="0" w:color="auto"/>
            <w:bottom w:val="none" w:sz="0" w:space="0" w:color="auto"/>
            <w:right w:val="none" w:sz="0" w:space="0" w:color="auto"/>
          </w:divBdr>
        </w:div>
        <w:div w:id="1644967285">
          <w:marLeft w:val="274"/>
          <w:marRight w:val="0"/>
          <w:marTop w:val="120"/>
          <w:marBottom w:val="120"/>
          <w:divBdr>
            <w:top w:val="none" w:sz="0" w:space="0" w:color="auto"/>
            <w:left w:val="none" w:sz="0" w:space="0" w:color="auto"/>
            <w:bottom w:val="none" w:sz="0" w:space="0" w:color="auto"/>
            <w:right w:val="none" w:sz="0" w:space="0" w:color="auto"/>
          </w:divBdr>
        </w:div>
        <w:div w:id="1749493803">
          <w:marLeft w:val="274"/>
          <w:marRight w:val="0"/>
          <w:marTop w:val="120"/>
          <w:marBottom w:val="120"/>
          <w:divBdr>
            <w:top w:val="none" w:sz="0" w:space="0" w:color="auto"/>
            <w:left w:val="none" w:sz="0" w:space="0" w:color="auto"/>
            <w:bottom w:val="none" w:sz="0" w:space="0" w:color="auto"/>
            <w:right w:val="none" w:sz="0" w:space="0" w:color="auto"/>
          </w:divBdr>
        </w:div>
        <w:div w:id="1913811754">
          <w:marLeft w:val="274"/>
          <w:marRight w:val="0"/>
          <w:marTop w:val="120"/>
          <w:marBottom w:val="120"/>
          <w:divBdr>
            <w:top w:val="none" w:sz="0" w:space="0" w:color="auto"/>
            <w:left w:val="none" w:sz="0" w:space="0" w:color="auto"/>
            <w:bottom w:val="none" w:sz="0" w:space="0" w:color="auto"/>
            <w:right w:val="none" w:sz="0" w:space="0" w:color="auto"/>
          </w:divBdr>
        </w:div>
      </w:divsChild>
    </w:div>
    <w:div w:id="1149858677">
      <w:bodyDiv w:val="1"/>
      <w:marLeft w:val="0"/>
      <w:marRight w:val="0"/>
      <w:marTop w:val="0"/>
      <w:marBottom w:val="0"/>
      <w:divBdr>
        <w:top w:val="none" w:sz="0" w:space="0" w:color="auto"/>
        <w:left w:val="none" w:sz="0" w:space="0" w:color="auto"/>
        <w:bottom w:val="none" w:sz="0" w:space="0" w:color="auto"/>
        <w:right w:val="none" w:sz="0" w:space="0" w:color="auto"/>
      </w:divBdr>
    </w:div>
    <w:div w:id="1155297505">
      <w:bodyDiv w:val="1"/>
      <w:marLeft w:val="0"/>
      <w:marRight w:val="0"/>
      <w:marTop w:val="0"/>
      <w:marBottom w:val="0"/>
      <w:divBdr>
        <w:top w:val="none" w:sz="0" w:space="0" w:color="auto"/>
        <w:left w:val="none" w:sz="0" w:space="0" w:color="auto"/>
        <w:bottom w:val="none" w:sz="0" w:space="0" w:color="auto"/>
        <w:right w:val="none" w:sz="0" w:space="0" w:color="auto"/>
      </w:divBdr>
    </w:div>
    <w:div w:id="1167403817">
      <w:bodyDiv w:val="1"/>
      <w:marLeft w:val="0"/>
      <w:marRight w:val="0"/>
      <w:marTop w:val="0"/>
      <w:marBottom w:val="0"/>
      <w:divBdr>
        <w:top w:val="none" w:sz="0" w:space="0" w:color="auto"/>
        <w:left w:val="none" w:sz="0" w:space="0" w:color="auto"/>
        <w:bottom w:val="none" w:sz="0" w:space="0" w:color="auto"/>
        <w:right w:val="none" w:sz="0" w:space="0" w:color="auto"/>
      </w:divBdr>
    </w:div>
    <w:div w:id="1179588865">
      <w:bodyDiv w:val="1"/>
      <w:marLeft w:val="0"/>
      <w:marRight w:val="0"/>
      <w:marTop w:val="0"/>
      <w:marBottom w:val="0"/>
      <w:divBdr>
        <w:top w:val="none" w:sz="0" w:space="0" w:color="auto"/>
        <w:left w:val="none" w:sz="0" w:space="0" w:color="auto"/>
        <w:bottom w:val="none" w:sz="0" w:space="0" w:color="auto"/>
        <w:right w:val="none" w:sz="0" w:space="0" w:color="auto"/>
      </w:divBdr>
    </w:div>
    <w:div w:id="1180199118">
      <w:bodyDiv w:val="1"/>
      <w:marLeft w:val="0"/>
      <w:marRight w:val="0"/>
      <w:marTop w:val="0"/>
      <w:marBottom w:val="0"/>
      <w:divBdr>
        <w:top w:val="none" w:sz="0" w:space="0" w:color="auto"/>
        <w:left w:val="none" w:sz="0" w:space="0" w:color="auto"/>
        <w:bottom w:val="none" w:sz="0" w:space="0" w:color="auto"/>
        <w:right w:val="none" w:sz="0" w:space="0" w:color="auto"/>
      </w:divBdr>
      <w:divsChild>
        <w:div w:id="2049210595">
          <w:marLeft w:val="446"/>
          <w:marRight w:val="0"/>
          <w:marTop w:val="120"/>
          <w:marBottom w:val="120"/>
          <w:divBdr>
            <w:top w:val="none" w:sz="0" w:space="0" w:color="auto"/>
            <w:left w:val="none" w:sz="0" w:space="0" w:color="auto"/>
            <w:bottom w:val="none" w:sz="0" w:space="0" w:color="auto"/>
            <w:right w:val="none" w:sz="0" w:space="0" w:color="auto"/>
          </w:divBdr>
        </w:div>
      </w:divsChild>
    </w:div>
    <w:div w:id="1213465430">
      <w:bodyDiv w:val="1"/>
      <w:marLeft w:val="0"/>
      <w:marRight w:val="0"/>
      <w:marTop w:val="0"/>
      <w:marBottom w:val="0"/>
      <w:divBdr>
        <w:top w:val="none" w:sz="0" w:space="0" w:color="auto"/>
        <w:left w:val="none" w:sz="0" w:space="0" w:color="auto"/>
        <w:bottom w:val="none" w:sz="0" w:space="0" w:color="auto"/>
        <w:right w:val="none" w:sz="0" w:space="0" w:color="auto"/>
      </w:divBdr>
    </w:div>
    <w:div w:id="1222130974">
      <w:bodyDiv w:val="1"/>
      <w:marLeft w:val="0"/>
      <w:marRight w:val="0"/>
      <w:marTop w:val="0"/>
      <w:marBottom w:val="0"/>
      <w:divBdr>
        <w:top w:val="none" w:sz="0" w:space="0" w:color="auto"/>
        <w:left w:val="none" w:sz="0" w:space="0" w:color="auto"/>
        <w:bottom w:val="none" w:sz="0" w:space="0" w:color="auto"/>
        <w:right w:val="none" w:sz="0" w:space="0" w:color="auto"/>
      </w:divBdr>
    </w:div>
    <w:div w:id="1222252310">
      <w:bodyDiv w:val="1"/>
      <w:marLeft w:val="0"/>
      <w:marRight w:val="0"/>
      <w:marTop w:val="0"/>
      <w:marBottom w:val="0"/>
      <w:divBdr>
        <w:top w:val="none" w:sz="0" w:space="0" w:color="auto"/>
        <w:left w:val="none" w:sz="0" w:space="0" w:color="auto"/>
        <w:bottom w:val="none" w:sz="0" w:space="0" w:color="auto"/>
        <w:right w:val="none" w:sz="0" w:space="0" w:color="auto"/>
      </w:divBdr>
    </w:div>
    <w:div w:id="1230926070">
      <w:bodyDiv w:val="1"/>
      <w:marLeft w:val="0"/>
      <w:marRight w:val="0"/>
      <w:marTop w:val="0"/>
      <w:marBottom w:val="0"/>
      <w:divBdr>
        <w:top w:val="none" w:sz="0" w:space="0" w:color="auto"/>
        <w:left w:val="none" w:sz="0" w:space="0" w:color="auto"/>
        <w:bottom w:val="none" w:sz="0" w:space="0" w:color="auto"/>
        <w:right w:val="none" w:sz="0" w:space="0" w:color="auto"/>
      </w:divBdr>
    </w:div>
    <w:div w:id="1242374214">
      <w:bodyDiv w:val="1"/>
      <w:marLeft w:val="0"/>
      <w:marRight w:val="0"/>
      <w:marTop w:val="0"/>
      <w:marBottom w:val="0"/>
      <w:divBdr>
        <w:top w:val="none" w:sz="0" w:space="0" w:color="auto"/>
        <w:left w:val="none" w:sz="0" w:space="0" w:color="auto"/>
        <w:bottom w:val="none" w:sz="0" w:space="0" w:color="auto"/>
        <w:right w:val="none" w:sz="0" w:space="0" w:color="auto"/>
      </w:divBdr>
    </w:div>
    <w:div w:id="1245915645">
      <w:bodyDiv w:val="1"/>
      <w:marLeft w:val="0"/>
      <w:marRight w:val="0"/>
      <w:marTop w:val="0"/>
      <w:marBottom w:val="0"/>
      <w:divBdr>
        <w:top w:val="none" w:sz="0" w:space="0" w:color="auto"/>
        <w:left w:val="none" w:sz="0" w:space="0" w:color="auto"/>
        <w:bottom w:val="none" w:sz="0" w:space="0" w:color="auto"/>
        <w:right w:val="none" w:sz="0" w:space="0" w:color="auto"/>
      </w:divBdr>
    </w:div>
    <w:div w:id="1247303246">
      <w:bodyDiv w:val="1"/>
      <w:marLeft w:val="0"/>
      <w:marRight w:val="0"/>
      <w:marTop w:val="0"/>
      <w:marBottom w:val="0"/>
      <w:divBdr>
        <w:top w:val="none" w:sz="0" w:space="0" w:color="auto"/>
        <w:left w:val="none" w:sz="0" w:space="0" w:color="auto"/>
        <w:bottom w:val="none" w:sz="0" w:space="0" w:color="auto"/>
        <w:right w:val="none" w:sz="0" w:space="0" w:color="auto"/>
      </w:divBdr>
    </w:div>
    <w:div w:id="1247810401">
      <w:bodyDiv w:val="1"/>
      <w:marLeft w:val="0"/>
      <w:marRight w:val="0"/>
      <w:marTop w:val="0"/>
      <w:marBottom w:val="0"/>
      <w:divBdr>
        <w:top w:val="none" w:sz="0" w:space="0" w:color="auto"/>
        <w:left w:val="none" w:sz="0" w:space="0" w:color="auto"/>
        <w:bottom w:val="none" w:sz="0" w:space="0" w:color="auto"/>
        <w:right w:val="none" w:sz="0" w:space="0" w:color="auto"/>
      </w:divBdr>
    </w:div>
    <w:div w:id="1248659593">
      <w:bodyDiv w:val="1"/>
      <w:marLeft w:val="0"/>
      <w:marRight w:val="0"/>
      <w:marTop w:val="0"/>
      <w:marBottom w:val="0"/>
      <w:divBdr>
        <w:top w:val="none" w:sz="0" w:space="0" w:color="auto"/>
        <w:left w:val="none" w:sz="0" w:space="0" w:color="auto"/>
        <w:bottom w:val="none" w:sz="0" w:space="0" w:color="auto"/>
        <w:right w:val="none" w:sz="0" w:space="0" w:color="auto"/>
      </w:divBdr>
    </w:div>
    <w:div w:id="1254433920">
      <w:bodyDiv w:val="1"/>
      <w:marLeft w:val="0"/>
      <w:marRight w:val="0"/>
      <w:marTop w:val="0"/>
      <w:marBottom w:val="0"/>
      <w:divBdr>
        <w:top w:val="none" w:sz="0" w:space="0" w:color="auto"/>
        <w:left w:val="none" w:sz="0" w:space="0" w:color="auto"/>
        <w:bottom w:val="none" w:sz="0" w:space="0" w:color="auto"/>
        <w:right w:val="none" w:sz="0" w:space="0" w:color="auto"/>
      </w:divBdr>
    </w:div>
    <w:div w:id="1268344426">
      <w:bodyDiv w:val="1"/>
      <w:marLeft w:val="0"/>
      <w:marRight w:val="0"/>
      <w:marTop w:val="0"/>
      <w:marBottom w:val="0"/>
      <w:divBdr>
        <w:top w:val="none" w:sz="0" w:space="0" w:color="auto"/>
        <w:left w:val="none" w:sz="0" w:space="0" w:color="auto"/>
        <w:bottom w:val="none" w:sz="0" w:space="0" w:color="auto"/>
        <w:right w:val="none" w:sz="0" w:space="0" w:color="auto"/>
      </w:divBdr>
    </w:div>
    <w:div w:id="1275094175">
      <w:bodyDiv w:val="1"/>
      <w:marLeft w:val="0"/>
      <w:marRight w:val="0"/>
      <w:marTop w:val="0"/>
      <w:marBottom w:val="0"/>
      <w:divBdr>
        <w:top w:val="none" w:sz="0" w:space="0" w:color="auto"/>
        <w:left w:val="none" w:sz="0" w:space="0" w:color="auto"/>
        <w:bottom w:val="none" w:sz="0" w:space="0" w:color="auto"/>
        <w:right w:val="none" w:sz="0" w:space="0" w:color="auto"/>
      </w:divBdr>
    </w:div>
    <w:div w:id="1283343544">
      <w:bodyDiv w:val="1"/>
      <w:marLeft w:val="0"/>
      <w:marRight w:val="0"/>
      <w:marTop w:val="0"/>
      <w:marBottom w:val="0"/>
      <w:divBdr>
        <w:top w:val="none" w:sz="0" w:space="0" w:color="auto"/>
        <w:left w:val="none" w:sz="0" w:space="0" w:color="auto"/>
        <w:bottom w:val="none" w:sz="0" w:space="0" w:color="auto"/>
        <w:right w:val="none" w:sz="0" w:space="0" w:color="auto"/>
      </w:divBdr>
    </w:div>
    <w:div w:id="1290358283">
      <w:bodyDiv w:val="1"/>
      <w:marLeft w:val="0"/>
      <w:marRight w:val="0"/>
      <w:marTop w:val="0"/>
      <w:marBottom w:val="0"/>
      <w:divBdr>
        <w:top w:val="none" w:sz="0" w:space="0" w:color="auto"/>
        <w:left w:val="none" w:sz="0" w:space="0" w:color="auto"/>
        <w:bottom w:val="none" w:sz="0" w:space="0" w:color="auto"/>
        <w:right w:val="none" w:sz="0" w:space="0" w:color="auto"/>
      </w:divBdr>
    </w:div>
    <w:div w:id="1302997583">
      <w:bodyDiv w:val="1"/>
      <w:marLeft w:val="0"/>
      <w:marRight w:val="0"/>
      <w:marTop w:val="0"/>
      <w:marBottom w:val="0"/>
      <w:divBdr>
        <w:top w:val="none" w:sz="0" w:space="0" w:color="auto"/>
        <w:left w:val="none" w:sz="0" w:space="0" w:color="auto"/>
        <w:bottom w:val="none" w:sz="0" w:space="0" w:color="auto"/>
        <w:right w:val="none" w:sz="0" w:space="0" w:color="auto"/>
      </w:divBdr>
      <w:divsChild>
        <w:div w:id="52387258">
          <w:marLeft w:val="274"/>
          <w:marRight w:val="86"/>
          <w:marTop w:val="0"/>
          <w:marBottom w:val="0"/>
          <w:divBdr>
            <w:top w:val="none" w:sz="0" w:space="0" w:color="auto"/>
            <w:left w:val="none" w:sz="0" w:space="0" w:color="auto"/>
            <w:bottom w:val="none" w:sz="0" w:space="0" w:color="auto"/>
            <w:right w:val="none" w:sz="0" w:space="0" w:color="auto"/>
          </w:divBdr>
        </w:div>
        <w:div w:id="120850741">
          <w:marLeft w:val="274"/>
          <w:marRight w:val="86"/>
          <w:marTop w:val="0"/>
          <w:marBottom w:val="0"/>
          <w:divBdr>
            <w:top w:val="none" w:sz="0" w:space="0" w:color="auto"/>
            <w:left w:val="none" w:sz="0" w:space="0" w:color="auto"/>
            <w:bottom w:val="none" w:sz="0" w:space="0" w:color="auto"/>
            <w:right w:val="none" w:sz="0" w:space="0" w:color="auto"/>
          </w:divBdr>
        </w:div>
        <w:div w:id="125783916">
          <w:marLeft w:val="274"/>
          <w:marRight w:val="86"/>
          <w:marTop w:val="0"/>
          <w:marBottom w:val="0"/>
          <w:divBdr>
            <w:top w:val="none" w:sz="0" w:space="0" w:color="auto"/>
            <w:left w:val="none" w:sz="0" w:space="0" w:color="auto"/>
            <w:bottom w:val="none" w:sz="0" w:space="0" w:color="auto"/>
            <w:right w:val="none" w:sz="0" w:space="0" w:color="auto"/>
          </w:divBdr>
        </w:div>
        <w:div w:id="125860570">
          <w:marLeft w:val="274"/>
          <w:marRight w:val="86"/>
          <w:marTop w:val="0"/>
          <w:marBottom w:val="0"/>
          <w:divBdr>
            <w:top w:val="none" w:sz="0" w:space="0" w:color="auto"/>
            <w:left w:val="none" w:sz="0" w:space="0" w:color="auto"/>
            <w:bottom w:val="none" w:sz="0" w:space="0" w:color="auto"/>
            <w:right w:val="none" w:sz="0" w:space="0" w:color="auto"/>
          </w:divBdr>
        </w:div>
        <w:div w:id="131795037">
          <w:marLeft w:val="274"/>
          <w:marRight w:val="86"/>
          <w:marTop w:val="0"/>
          <w:marBottom w:val="0"/>
          <w:divBdr>
            <w:top w:val="none" w:sz="0" w:space="0" w:color="auto"/>
            <w:left w:val="none" w:sz="0" w:space="0" w:color="auto"/>
            <w:bottom w:val="none" w:sz="0" w:space="0" w:color="auto"/>
            <w:right w:val="none" w:sz="0" w:space="0" w:color="auto"/>
          </w:divBdr>
        </w:div>
        <w:div w:id="138806707">
          <w:marLeft w:val="274"/>
          <w:marRight w:val="86"/>
          <w:marTop w:val="0"/>
          <w:marBottom w:val="0"/>
          <w:divBdr>
            <w:top w:val="none" w:sz="0" w:space="0" w:color="auto"/>
            <w:left w:val="none" w:sz="0" w:space="0" w:color="auto"/>
            <w:bottom w:val="none" w:sz="0" w:space="0" w:color="auto"/>
            <w:right w:val="none" w:sz="0" w:space="0" w:color="auto"/>
          </w:divBdr>
        </w:div>
        <w:div w:id="143552427">
          <w:marLeft w:val="274"/>
          <w:marRight w:val="86"/>
          <w:marTop w:val="0"/>
          <w:marBottom w:val="0"/>
          <w:divBdr>
            <w:top w:val="none" w:sz="0" w:space="0" w:color="auto"/>
            <w:left w:val="none" w:sz="0" w:space="0" w:color="auto"/>
            <w:bottom w:val="none" w:sz="0" w:space="0" w:color="auto"/>
            <w:right w:val="none" w:sz="0" w:space="0" w:color="auto"/>
          </w:divBdr>
        </w:div>
        <w:div w:id="169759661">
          <w:marLeft w:val="274"/>
          <w:marRight w:val="86"/>
          <w:marTop w:val="0"/>
          <w:marBottom w:val="0"/>
          <w:divBdr>
            <w:top w:val="none" w:sz="0" w:space="0" w:color="auto"/>
            <w:left w:val="none" w:sz="0" w:space="0" w:color="auto"/>
            <w:bottom w:val="none" w:sz="0" w:space="0" w:color="auto"/>
            <w:right w:val="none" w:sz="0" w:space="0" w:color="auto"/>
          </w:divBdr>
        </w:div>
        <w:div w:id="192545322">
          <w:marLeft w:val="274"/>
          <w:marRight w:val="86"/>
          <w:marTop w:val="0"/>
          <w:marBottom w:val="0"/>
          <w:divBdr>
            <w:top w:val="none" w:sz="0" w:space="0" w:color="auto"/>
            <w:left w:val="none" w:sz="0" w:space="0" w:color="auto"/>
            <w:bottom w:val="none" w:sz="0" w:space="0" w:color="auto"/>
            <w:right w:val="none" w:sz="0" w:space="0" w:color="auto"/>
          </w:divBdr>
        </w:div>
        <w:div w:id="205916559">
          <w:marLeft w:val="274"/>
          <w:marRight w:val="86"/>
          <w:marTop w:val="0"/>
          <w:marBottom w:val="0"/>
          <w:divBdr>
            <w:top w:val="none" w:sz="0" w:space="0" w:color="auto"/>
            <w:left w:val="none" w:sz="0" w:space="0" w:color="auto"/>
            <w:bottom w:val="none" w:sz="0" w:space="0" w:color="auto"/>
            <w:right w:val="none" w:sz="0" w:space="0" w:color="auto"/>
          </w:divBdr>
        </w:div>
        <w:div w:id="219639015">
          <w:marLeft w:val="274"/>
          <w:marRight w:val="86"/>
          <w:marTop w:val="0"/>
          <w:marBottom w:val="0"/>
          <w:divBdr>
            <w:top w:val="none" w:sz="0" w:space="0" w:color="auto"/>
            <w:left w:val="none" w:sz="0" w:space="0" w:color="auto"/>
            <w:bottom w:val="none" w:sz="0" w:space="0" w:color="auto"/>
            <w:right w:val="none" w:sz="0" w:space="0" w:color="auto"/>
          </w:divBdr>
        </w:div>
        <w:div w:id="225647061">
          <w:marLeft w:val="274"/>
          <w:marRight w:val="86"/>
          <w:marTop w:val="0"/>
          <w:marBottom w:val="0"/>
          <w:divBdr>
            <w:top w:val="none" w:sz="0" w:space="0" w:color="auto"/>
            <w:left w:val="none" w:sz="0" w:space="0" w:color="auto"/>
            <w:bottom w:val="none" w:sz="0" w:space="0" w:color="auto"/>
            <w:right w:val="none" w:sz="0" w:space="0" w:color="auto"/>
          </w:divBdr>
        </w:div>
        <w:div w:id="242182571">
          <w:marLeft w:val="274"/>
          <w:marRight w:val="86"/>
          <w:marTop w:val="0"/>
          <w:marBottom w:val="0"/>
          <w:divBdr>
            <w:top w:val="none" w:sz="0" w:space="0" w:color="auto"/>
            <w:left w:val="none" w:sz="0" w:space="0" w:color="auto"/>
            <w:bottom w:val="none" w:sz="0" w:space="0" w:color="auto"/>
            <w:right w:val="none" w:sz="0" w:space="0" w:color="auto"/>
          </w:divBdr>
        </w:div>
        <w:div w:id="248273987">
          <w:marLeft w:val="274"/>
          <w:marRight w:val="86"/>
          <w:marTop w:val="0"/>
          <w:marBottom w:val="0"/>
          <w:divBdr>
            <w:top w:val="none" w:sz="0" w:space="0" w:color="auto"/>
            <w:left w:val="none" w:sz="0" w:space="0" w:color="auto"/>
            <w:bottom w:val="none" w:sz="0" w:space="0" w:color="auto"/>
            <w:right w:val="none" w:sz="0" w:space="0" w:color="auto"/>
          </w:divBdr>
        </w:div>
        <w:div w:id="291637512">
          <w:marLeft w:val="274"/>
          <w:marRight w:val="86"/>
          <w:marTop w:val="0"/>
          <w:marBottom w:val="0"/>
          <w:divBdr>
            <w:top w:val="none" w:sz="0" w:space="0" w:color="auto"/>
            <w:left w:val="none" w:sz="0" w:space="0" w:color="auto"/>
            <w:bottom w:val="none" w:sz="0" w:space="0" w:color="auto"/>
            <w:right w:val="none" w:sz="0" w:space="0" w:color="auto"/>
          </w:divBdr>
        </w:div>
        <w:div w:id="302276505">
          <w:marLeft w:val="274"/>
          <w:marRight w:val="86"/>
          <w:marTop w:val="0"/>
          <w:marBottom w:val="0"/>
          <w:divBdr>
            <w:top w:val="none" w:sz="0" w:space="0" w:color="auto"/>
            <w:left w:val="none" w:sz="0" w:space="0" w:color="auto"/>
            <w:bottom w:val="none" w:sz="0" w:space="0" w:color="auto"/>
            <w:right w:val="none" w:sz="0" w:space="0" w:color="auto"/>
          </w:divBdr>
        </w:div>
        <w:div w:id="316230743">
          <w:marLeft w:val="274"/>
          <w:marRight w:val="86"/>
          <w:marTop w:val="0"/>
          <w:marBottom w:val="0"/>
          <w:divBdr>
            <w:top w:val="none" w:sz="0" w:space="0" w:color="auto"/>
            <w:left w:val="none" w:sz="0" w:space="0" w:color="auto"/>
            <w:bottom w:val="none" w:sz="0" w:space="0" w:color="auto"/>
            <w:right w:val="none" w:sz="0" w:space="0" w:color="auto"/>
          </w:divBdr>
        </w:div>
        <w:div w:id="335228002">
          <w:marLeft w:val="360"/>
          <w:marRight w:val="288"/>
          <w:marTop w:val="0"/>
          <w:marBottom w:val="0"/>
          <w:divBdr>
            <w:top w:val="none" w:sz="0" w:space="0" w:color="auto"/>
            <w:left w:val="none" w:sz="0" w:space="0" w:color="auto"/>
            <w:bottom w:val="none" w:sz="0" w:space="0" w:color="auto"/>
            <w:right w:val="none" w:sz="0" w:space="0" w:color="auto"/>
          </w:divBdr>
        </w:div>
        <w:div w:id="366754953">
          <w:marLeft w:val="274"/>
          <w:marRight w:val="86"/>
          <w:marTop w:val="0"/>
          <w:marBottom w:val="0"/>
          <w:divBdr>
            <w:top w:val="none" w:sz="0" w:space="0" w:color="auto"/>
            <w:left w:val="none" w:sz="0" w:space="0" w:color="auto"/>
            <w:bottom w:val="none" w:sz="0" w:space="0" w:color="auto"/>
            <w:right w:val="none" w:sz="0" w:space="0" w:color="auto"/>
          </w:divBdr>
        </w:div>
        <w:div w:id="378936016">
          <w:marLeft w:val="274"/>
          <w:marRight w:val="86"/>
          <w:marTop w:val="0"/>
          <w:marBottom w:val="0"/>
          <w:divBdr>
            <w:top w:val="none" w:sz="0" w:space="0" w:color="auto"/>
            <w:left w:val="none" w:sz="0" w:space="0" w:color="auto"/>
            <w:bottom w:val="none" w:sz="0" w:space="0" w:color="auto"/>
            <w:right w:val="none" w:sz="0" w:space="0" w:color="auto"/>
          </w:divBdr>
        </w:div>
        <w:div w:id="408429733">
          <w:marLeft w:val="274"/>
          <w:marRight w:val="86"/>
          <w:marTop w:val="0"/>
          <w:marBottom w:val="0"/>
          <w:divBdr>
            <w:top w:val="none" w:sz="0" w:space="0" w:color="auto"/>
            <w:left w:val="none" w:sz="0" w:space="0" w:color="auto"/>
            <w:bottom w:val="none" w:sz="0" w:space="0" w:color="auto"/>
            <w:right w:val="none" w:sz="0" w:space="0" w:color="auto"/>
          </w:divBdr>
        </w:div>
        <w:div w:id="422607893">
          <w:marLeft w:val="274"/>
          <w:marRight w:val="86"/>
          <w:marTop w:val="0"/>
          <w:marBottom w:val="0"/>
          <w:divBdr>
            <w:top w:val="none" w:sz="0" w:space="0" w:color="auto"/>
            <w:left w:val="none" w:sz="0" w:space="0" w:color="auto"/>
            <w:bottom w:val="none" w:sz="0" w:space="0" w:color="auto"/>
            <w:right w:val="none" w:sz="0" w:space="0" w:color="auto"/>
          </w:divBdr>
        </w:div>
        <w:div w:id="448355495">
          <w:marLeft w:val="274"/>
          <w:marRight w:val="86"/>
          <w:marTop w:val="0"/>
          <w:marBottom w:val="0"/>
          <w:divBdr>
            <w:top w:val="none" w:sz="0" w:space="0" w:color="auto"/>
            <w:left w:val="none" w:sz="0" w:space="0" w:color="auto"/>
            <w:bottom w:val="none" w:sz="0" w:space="0" w:color="auto"/>
            <w:right w:val="none" w:sz="0" w:space="0" w:color="auto"/>
          </w:divBdr>
        </w:div>
        <w:div w:id="449936027">
          <w:marLeft w:val="274"/>
          <w:marRight w:val="86"/>
          <w:marTop w:val="0"/>
          <w:marBottom w:val="0"/>
          <w:divBdr>
            <w:top w:val="none" w:sz="0" w:space="0" w:color="auto"/>
            <w:left w:val="none" w:sz="0" w:space="0" w:color="auto"/>
            <w:bottom w:val="none" w:sz="0" w:space="0" w:color="auto"/>
            <w:right w:val="none" w:sz="0" w:space="0" w:color="auto"/>
          </w:divBdr>
        </w:div>
        <w:div w:id="485247003">
          <w:marLeft w:val="274"/>
          <w:marRight w:val="86"/>
          <w:marTop w:val="0"/>
          <w:marBottom w:val="0"/>
          <w:divBdr>
            <w:top w:val="none" w:sz="0" w:space="0" w:color="auto"/>
            <w:left w:val="none" w:sz="0" w:space="0" w:color="auto"/>
            <w:bottom w:val="none" w:sz="0" w:space="0" w:color="auto"/>
            <w:right w:val="none" w:sz="0" w:space="0" w:color="auto"/>
          </w:divBdr>
        </w:div>
        <w:div w:id="590773505">
          <w:marLeft w:val="274"/>
          <w:marRight w:val="86"/>
          <w:marTop w:val="0"/>
          <w:marBottom w:val="0"/>
          <w:divBdr>
            <w:top w:val="none" w:sz="0" w:space="0" w:color="auto"/>
            <w:left w:val="none" w:sz="0" w:space="0" w:color="auto"/>
            <w:bottom w:val="none" w:sz="0" w:space="0" w:color="auto"/>
            <w:right w:val="none" w:sz="0" w:space="0" w:color="auto"/>
          </w:divBdr>
        </w:div>
        <w:div w:id="634486010">
          <w:marLeft w:val="274"/>
          <w:marRight w:val="86"/>
          <w:marTop w:val="0"/>
          <w:marBottom w:val="0"/>
          <w:divBdr>
            <w:top w:val="none" w:sz="0" w:space="0" w:color="auto"/>
            <w:left w:val="none" w:sz="0" w:space="0" w:color="auto"/>
            <w:bottom w:val="none" w:sz="0" w:space="0" w:color="auto"/>
            <w:right w:val="none" w:sz="0" w:space="0" w:color="auto"/>
          </w:divBdr>
        </w:div>
        <w:div w:id="773982915">
          <w:marLeft w:val="274"/>
          <w:marRight w:val="86"/>
          <w:marTop w:val="0"/>
          <w:marBottom w:val="0"/>
          <w:divBdr>
            <w:top w:val="none" w:sz="0" w:space="0" w:color="auto"/>
            <w:left w:val="none" w:sz="0" w:space="0" w:color="auto"/>
            <w:bottom w:val="none" w:sz="0" w:space="0" w:color="auto"/>
            <w:right w:val="none" w:sz="0" w:space="0" w:color="auto"/>
          </w:divBdr>
        </w:div>
        <w:div w:id="801970781">
          <w:marLeft w:val="274"/>
          <w:marRight w:val="86"/>
          <w:marTop w:val="0"/>
          <w:marBottom w:val="0"/>
          <w:divBdr>
            <w:top w:val="none" w:sz="0" w:space="0" w:color="auto"/>
            <w:left w:val="none" w:sz="0" w:space="0" w:color="auto"/>
            <w:bottom w:val="none" w:sz="0" w:space="0" w:color="auto"/>
            <w:right w:val="none" w:sz="0" w:space="0" w:color="auto"/>
          </w:divBdr>
        </w:div>
        <w:div w:id="813136629">
          <w:marLeft w:val="360"/>
          <w:marRight w:val="288"/>
          <w:marTop w:val="0"/>
          <w:marBottom w:val="0"/>
          <w:divBdr>
            <w:top w:val="none" w:sz="0" w:space="0" w:color="auto"/>
            <w:left w:val="none" w:sz="0" w:space="0" w:color="auto"/>
            <w:bottom w:val="none" w:sz="0" w:space="0" w:color="auto"/>
            <w:right w:val="none" w:sz="0" w:space="0" w:color="auto"/>
          </w:divBdr>
        </w:div>
        <w:div w:id="839928286">
          <w:marLeft w:val="274"/>
          <w:marRight w:val="86"/>
          <w:marTop w:val="0"/>
          <w:marBottom w:val="0"/>
          <w:divBdr>
            <w:top w:val="none" w:sz="0" w:space="0" w:color="auto"/>
            <w:left w:val="none" w:sz="0" w:space="0" w:color="auto"/>
            <w:bottom w:val="none" w:sz="0" w:space="0" w:color="auto"/>
            <w:right w:val="none" w:sz="0" w:space="0" w:color="auto"/>
          </w:divBdr>
        </w:div>
        <w:div w:id="845705196">
          <w:marLeft w:val="274"/>
          <w:marRight w:val="86"/>
          <w:marTop w:val="0"/>
          <w:marBottom w:val="0"/>
          <w:divBdr>
            <w:top w:val="none" w:sz="0" w:space="0" w:color="auto"/>
            <w:left w:val="none" w:sz="0" w:space="0" w:color="auto"/>
            <w:bottom w:val="none" w:sz="0" w:space="0" w:color="auto"/>
            <w:right w:val="none" w:sz="0" w:space="0" w:color="auto"/>
          </w:divBdr>
        </w:div>
        <w:div w:id="857961178">
          <w:marLeft w:val="360"/>
          <w:marRight w:val="288"/>
          <w:marTop w:val="0"/>
          <w:marBottom w:val="0"/>
          <w:divBdr>
            <w:top w:val="none" w:sz="0" w:space="0" w:color="auto"/>
            <w:left w:val="none" w:sz="0" w:space="0" w:color="auto"/>
            <w:bottom w:val="none" w:sz="0" w:space="0" w:color="auto"/>
            <w:right w:val="none" w:sz="0" w:space="0" w:color="auto"/>
          </w:divBdr>
        </w:div>
        <w:div w:id="901598943">
          <w:marLeft w:val="274"/>
          <w:marRight w:val="0"/>
          <w:marTop w:val="0"/>
          <w:marBottom w:val="0"/>
          <w:divBdr>
            <w:top w:val="none" w:sz="0" w:space="0" w:color="auto"/>
            <w:left w:val="none" w:sz="0" w:space="0" w:color="auto"/>
            <w:bottom w:val="none" w:sz="0" w:space="0" w:color="auto"/>
            <w:right w:val="none" w:sz="0" w:space="0" w:color="auto"/>
          </w:divBdr>
        </w:div>
        <w:div w:id="909924203">
          <w:marLeft w:val="274"/>
          <w:marRight w:val="86"/>
          <w:marTop w:val="0"/>
          <w:marBottom w:val="0"/>
          <w:divBdr>
            <w:top w:val="none" w:sz="0" w:space="0" w:color="auto"/>
            <w:left w:val="none" w:sz="0" w:space="0" w:color="auto"/>
            <w:bottom w:val="none" w:sz="0" w:space="0" w:color="auto"/>
            <w:right w:val="none" w:sz="0" w:space="0" w:color="auto"/>
          </w:divBdr>
        </w:div>
        <w:div w:id="917403264">
          <w:marLeft w:val="274"/>
          <w:marRight w:val="86"/>
          <w:marTop w:val="0"/>
          <w:marBottom w:val="0"/>
          <w:divBdr>
            <w:top w:val="none" w:sz="0" w:space="0" w:color="auto"/>
            <w:left w:val="none" w:sz="0" w:space="0" w:color="auto"/>
            <w:bottom w:val="none" w:sz="0" w:space="0" w:color="auto"/>
            <w:right w:val="none" w:sz="0" w:space="0" w:color="auto"/>
          </w:divBdr>
        </w:div>
        <w:div w:id="919826179">
          <w:marLeft w:val="274"/>
          <w:marRight w:val="86"/>
          <w:marTop w:val="0"/>
          <w:marBottom w:val="0"/>
          <w:divBdr>
            <w:top w:val="none" w:sz="0" w:space="0" w:color="auto"/>
            <w:left w:val="none" w:sz="0" w:space="0" w:color="auto"/>
            <w:bottom w:val="none" w:sz="0" w:space="0" w:color="auto"/>
            <w:right w:val="none" w:sz="0" w:space="0" w:color="auto"/>
          </w:divBdr>
        </w:div>
        <w:div w:id="960262935">
          <w:marLeft w:val="274"/>
          <w:marRight w:val="86"/>
          <w:marTop w:val="0"/>
          <w:marBottom w:val="0"/>
          <w:divBdr>
            <w:top w:val="none" w:sz="0" w:space="0" w:color="auto"/>
            <w:left w:val="none" w:sz="0" w:space="0" w:color="auto"/>
            <w:bottom w:val="none" w:sz="0" w:space="0" w:color="auto"/>
            <w:right w:val="none" w:sz="0" w:space="0" w:color="auto"/>
          </w:divBdr>
        </w:div>
        <w:div w:id="966741775">
          <w:marLeft w:val="274"/>
          <w:marRight w:val="0"/>
          <w:marTop w:val="0"/>
          <w:marBottom w:val="0"/>
          <w:divBdr>
            <w:top w:val="none" w:sz="0" w:space="0" w:color="auto"/>
            <w:left w:val="none" w:sz="0" w:space="0" w:color="auto"/>
            <w:bottom w:val="none" w:sz="0" w:space="0" w:color="auto"/>
            <w:right w:val="none" w:sz="0" w:space="0" w:color="auto"/>
          </w:divBdr>
        </w:div>
        <w:div w:id="989333001">
          <w:marLeft w:val="360"/>
          <w:marRight w:val="288"/>
          <w:marTop w:val="0"/>
          <w:marBottom w:val="0"/>
          <w:divBdr>
            <w:top w:val="none" w:sz="0" w:space="0" w:color="auto"/>
            <w:left w:val="none" w:sz="0" w:space="0" w:color="auto"/>
            <w:bottom w:val="none" w:sz="0" w:space="0" w:color="auto"/>
            <w:right w:val="none" w:sz="0" w:space="0" w:color="auto"/>
          </w:divBdr>
        </w:div>
        <w:div w:id="1020546864">
          <w:marLeft w:val="274"/>
          <w:marRight w:val="86"/>
          <w:marTop w:val="0"/>
          <w:marBottom w:val="0"/>
          <w:divBdr>
            <w:top w:val="none" w:sz="0" w:space="0" w:color="auto"/>
            <w:left w:val="none" w:sz="0" w:space="0" w:color="auto"/>
            <w:bottom w:val="none" w:sz="0" w:space="0" w:color="auto"/>
            <w:right w:val="none" w:sz="0" w:space="0" w:color="auto"/>
          </w:divBdr>
        </w:div>
        <w:div w:id="1026491708">
          <w:marLeft w:val="274"/>
          <w:marRight w:val="86"/>
          <w:marTop w:val="0"/>
          <w:marBottom w:val="0"/>
          <w:divBdr>
            <w:top w:val="none" w:sz="0" w:space="0" w:color="auto"/>
            <w:left w:val="none" w:sz="0" w:space="0" w:color="auto"/>
            <w:bottom w:val="none" w:sz="0" w:space="0" w:color="auto"/>
            <w:right w:val="none" w:sz="0" w:space="0" w:color="auto"/>
          </w:divBdr>
        </w:div>
        <w:div w:id="1028139385">
          <w:marLeft w:val="274"/>
          <w:marRight w:val="86"/>
          <w:marTop w:val="0"/>
          <w:marBottom w:val="0"/>
          <w:divBdr>
            <w:top w:val="none" w:sz="0" w:space="0" w:color="auto"/>
            <w:left w:val="none" w:sz="0" w:space="0" w:color="auto"/>
            <w:bottom w:val="none" w:sz="0" w:space="0" w:color="auto"/>
            <w:right w:val="none" w:sz="0" w:space="0" w:color="auto"/>
          </w:divBdr>
        </w:div>
        <w:div w:id="1031759445">
          <w:marLeft w:val="274"/>
          <w:marRight w:val="86"/>
          <w:marTop w:val="0"/>
          <w:marBottom w:val="0"/>
          <w:divBdr>
            <w:top w:val="none" w:sz="0" w:space="0" w:color="auto"/>
            <w:left w:val="none" w:sz="0" w:space="0" w:color="auto"/>
            <w:bottom w:val="none" w:sz="0" w:space="0" w:color="auto"/>
            <w:right w:val="none" w:sz="0" w:space="0" w:color="auto"/>
          </w:divBdr>
        </w:div>
        <w:div w:id="1035158935">
          <w:marLeft w:val="274"/>
          <w:marRight w:val="86"/>
          <w:marTop w:val="0"/>
          <w:marBottom w:val="0"/>
          <w:divBdr>
            <w:top w:val="none" w:sz="0" w:space="0" w:color="auto"/>
            <w:left w:val="none" w:sz="0" w:space="0" w:color="auto"/>
            <w:bottom w:val="none" w:sz="0" w:space="0" w:color="auto"/>
            <w:right w:val="none" w:sz="0" w:space="0" w:color="auto"/>
          </w:divBdr>
        </w:div>
        <w:div w:id="1064571361">
          <w:marLeft w:val="274"/>
          <w:marRight w:val="86"/>
          <w:marTop w:val="0"/>
          <w:marBottom w:val="0"/>
          <w:divBdr>
            <w:top w:val="none" w:sz="0" w:space="0" w:color="auto"/>
            <w:left w:val="none" w:sz="0" w:space="0" w:color="auto"/>
            <w:bottom w:val="none" w:sz="0" w:space="0" w:color="auto"/>
            <w:right w:val="none" w:sz="0" w:space="0" w:color="auto"/>
          </w:divBdr>
        </w:div>
        <w:div w:id="1068916216">
          <w:marLeft w:val="360"/>
          <w:marRight w:val="288"/>
          <w:marTop w:val="0"/>
          <w:marBottom w:val="0"/>
          <w:divBdr>
            <w:top w:val="none" w:sz="0" w:space="0" w:color="auto"/>
            <w:left w:val="none" w:sz="0" w:space="0" w:color="auto"/>
            <w:bottom w:val="none" w:sz="0" w:space="0" w:color="auto"/>
            <w:right w:val="none" w:sz="0" w:space="0" w:color="auto"/>
          </w:divBdr>
        </w:div>
        <w:div w:id="1074668377">
          <w:marLeft w:val="274"/>
          <w:marRight w:val="86"/>
          <w:marTop w:val="0"/>
          <w:marBottom w:val="0"/>
          <w:divBdr>
            <w:top w:val="none" w:sz="0" w:space="0" w:color="auto"/>
            <w:left w:val="none" w:sz="0" w:space="0" w:color="auto"/>
            <w:bottom w:val="none" w:sz="0" w:space="0" w:color="auto"/>
            <w:right w:val="none" w:sz="0" w:space="0" w:color="auto"/>
          </w:divBdr>
        </w:div>
        <w:div w:id="1079597177">
          <w:marLeft w:val="360"/>
          <w:marRight w:val="288"/>
          <w:marTop w:val="0"/>
          <w:marBottom w:val="0"/>
          <w:divBdr>
            <w:top w:val="none" w:sz="0" w:space="0" w:color="auto"/>
            <w:left w:val="none" w:sz="0" w:space="0" w:color="auto"/>
            <w:bottom w:val="none" w:sz="0" w:space="0" w:color="auto"/>
            <w:right w:val="none" w:sz="0" w:space="0" w:color="auto"/>
          </w:divBdr>
        </w:div>
        <w:div w:id="1084912323">
          <w:marLeft w:val="274"/>
          <w:marRight w:val="86"/>
          <w:marTop w:val="0"/>
          <w:marBottom w:val="0"/>
          <w:divBdr>
            <w:top w:val="none" w:sz="0" w:space="0" w:color="auto"/>
            <w:left w:val="none" w:sz="0" w:space="0" w:color="auto"/>
            <w:bottom w:val="none" w:sz="0" w:space="0" w:color="auto"/>
            <w:right w:val="none" w:sz="0" w:space="0" w:color="auto"/>
          </w:divBdr>
        </w:div>
        <w:div w:id="1110049869">
          <w:marLeft w:val="274"/>
          <w:marRight w:val="86"/>
          <w:marTop w:val="0"/>
          <w:marBottom w:val="0"/>
          <w:divBdr>
            <w:top w:val="none" w:sz="0" w:space="0" w:color="auto"/>
            <w:left w:val="none" w:sz="0" w:space="0" w:color="auto"/>
            <w:bottom w:val="none" w:sz="0" w:space="0" w:color="auto"/>
            <w:right w:val="none" w:sz="0" w:space="0" w:color="auto"/>
          </w:divBdr>
        </w:div>
        <w:div w:id="1159030852">
          <w:marLeft w:val="360"/>
          <w:marRight w:val="288"/>
          <w:marTop w:val="0"/>
          <w:marBottom w:val="0"/>
          <w:divBdr>
            <w:top w:val="none" w:sz="0" w:space="0" w:color="auto"/>
            <w:left w:val="none" w:sz="0" w:space="0" w:color="auto"/>
            <w:bottom w:val="none" w:sz="0" w:space="0" w:color="auto"/>
            <w:right w:val="none" w:sz="0" w:space="0" w:color="auto"/>
          </w:divBdr>
        </w:div>
        <w:div w:id="1169711268">
          <w:marLeft w:val="274"/>
          <w:marRight w:val="86"/>
          <w:marTop w:val="0"/>
          <w:marBottom w:val="0"/>
          <w:divBdr>
            <w:top w:val="none" w:sz="0" w:space="0" w:color="auto"/>
            <w:left w:val="none" w:sz="0" w:space="0" w:color="auto"/>
            <w:bottom w:val="none" w:sz="0" w:space="0" w:color="auto"/>
            <w:right w:val="none" w:sz="0" w:space="0" w:color="auto"/>
          </w:divBdr>
        </w:div>
        <w:div w:id="1182282153">
          <w:marLeft w:val="274"/>
          <w:marRight w:val="86"/>
          <w:marTop w:val="0"/>
          <w:marBottom w:val="0"/>
          <w:divBdr>
            <w:top w:val="none" w:sz="0" w:space="0" w:color="auto"/>
            <w:left w:val="none" w:sz="0" w:space="0" w:color="auto"/>
            <w:bottom w:val="none" w:sz="0" w:space="0" w:color="auto"/>
            <w:right w:val="none" w:sz="0" w:space="0" w:color="auto"/>
          </w:divBdr>
        </w:div>
        <w:div w:id="1196506220">
          <w:marLeft w:val="274"/>
          <w:marRight w:val="86"/>
          <w:marTop w:val="0"/>
          <w:marBottom w:val="0"/>
          <w:divBdr>
            <w:top w:val="none" w:sz="0" w:space="0" w:color="auto"/>
            <w:left w:val="none" w:sz="0" w:space="0" w:color="auto"/>
            <w:bottom w:val="none" w:sz="0" w:space="0" w:color="auto"/>
            <w:right w:val="none" w:sz="0" w:space="0" w:color="auto"/>
          </w:divBdr>
        </w:div>
        <w:div w:id="1204056627">
          <w:marLeft w:val="360"/>
          <w:marRight w:val="288"/>
          <w:marTop w:val="0"/>
          <w:marBottom w:val="0"/>
          <w:divBdr>
            <w:top w:val="none" w:sz="0" w:space="0" w:color="auto"/>
            <w:left w:val="none" w:sz="0" w:space="0" w:color="auto"/>
            <w:bottom w:val="none" w:sz="0" w:space="0" w:color="auto"/>
            <w:right w:val="none" w:sz="0" w:space="0" w:color="auto"/>
          </w:divBdr>
        </w:div>
        <w:div w:id="1212112451">
          <w:marLeft w:val="274"/>
          <w:marRight w:val="86"/>
          <w:marTop w:val="0"/>
          <w:marBottom w:val="0"/>
          <w:divBdr>
            <w:top w:val="none" w:sz="0" w:space="0" w:color="auto"/>
            <w:left w:val="none" w:sz="0" w:space="0" w:color="auto"/>
            <w:bottom w:val="none" w:sz="0" w:space="0" w:color="auto"/>
            <w:right w:val="none" w:sz="0" w:space="0" w:color="auto"/>
          </w:divBdr>
        </w:div>
        <w:div w:id="1233616271">
          <w:marLeft w:val="274"/>
          <w:marRight w:val="86"/>
          <w:marTop w:val="0"/>
          <w:marBottom w:val="0"/>
          <w:divBdr>
            <w:top w:val="none" w:sz="0" w:space="0" w:color="auto"/>
            <w:left w:val="none" w:sz="0" w:space="0" w:color="auto"/>
            <w:bottom w:val="none" w:sz="0" w:space="0" w:color="auto"/>
            <w:right w:val="none" w:sz="0" w:space="0" w:color="auto"/>
          </w:divBdr>
        </w:div>
        <w:div w:id="1242449582">
          <w:marLeft w:val="360"/>
          <w:marRight w:val="288"/>
          <w:marTop w:val="0"/>
          <w:marBottom w:val="0"/>
          <w:divBdr>
            <w:top w:val="none" w:sz="0" w:space="0" w:color="auto"/>
            <w:left w:val="none" w:sz="0" w:space="0" w:color="auto"/>
            <w:bottom w:val="none" w:sz="0" w:space="0" w:color="auto"/>
            <w:right w:val="none" w:sz="0" w:space="0" w:color="auto"/>
          </w:divBdr>
        </w:div>
        <w:div w:id="1287664757">
          <w:marLeft w:val="274"/>
          <w:marRight w:val="86"/>
          <w:marTop w:val="0"/>
          <w:marBottom w:val="0"/>
          <w:divBdr>
            <w:top w:val="none" w:sz="0" w:space="0" w:color="auto"/>
            <w:left w:val="none" w:sz="0" w:space="0" w:color="auto"/>
            <w:bottom w:val="none" w:sz="0" w:space="0" w:color="auto"/>
            <w:right w:val="none" w:sz="0" w:space="0" w:color="auto"/>
          </w:divBdr>
        </w:div>
        <w:div w:id="1287782781">
          <w:marLeft w:val="274"/>
          <w:marRight w:val="86"/>
          <w:marTop w:val="0"/>
          <w:marBottom w:val="0"/>
          <w:divBdr>
            <w:top w:val="none" w:sz="0" w:space="0" w:color="auto"/>
            <w:left w:val="none" w:sz="0" w:space="0" w:color="auto"/>
            <w:bottom w:val="none" w:sz="0" w:space="0" w:color="auto"/>
            <w:right w:val="none" w:sz="0" w:space="0" w:color="auto"/>
          </w:divBdr>
        </w:div>
        <w:div w:id="1332218731">
          <w:marLeft w:val="274"/>
          <w:marRight w:val="86"/>
          <w:marTop w:val="0"/>
          <w:marBottom w:val="0"/>
          <w:divBdr>
            <w:top w:val="none" w:sz="0" w:space="0" w:color="auto"/>
            <w:left w:val="none" w:sz="0" w:space="0" w:color="auto"/>
            <w:bottom w:val="none" w:sz="0" w:space="0" w:color="auto"/>
            <w:right w:val="none" w:sz="0" w:space="0" w:color="auto"/>
          </w:divBdr>
        </w:div>
        <w:div w:id="1441873237">
          <w:marLeft w:val="274"/>
          <w:marRight w:val="86"/>
          <w:marTop w:val="0"/>
          <w:marBottom w:val="0"/>
          <w:divBdr>
            <w:top w:val="none" w:sz="0" w:space="0" w:color="auto"/>
            <w:left w:val="none" w:sz="0" w:space="0" w:color="auto"/>
            <w:bottom w:val="none" w:sz="0" w:space="0" w:color="auto"/>
            <w:right w:val="none" w:sz="0" w:space="0" w:color="auto"/>
          </w:divBdr>
        </w:div>
        <w:div w:id="1453981837">
          <w:marLeft w:val="274"/>
          <w:marRight w:val="86"/>
          <w:marTop w:val="0"/>
          <w:marBottom w:val="0"/>
          <w:divBdr>
            <w:top w:val="none" w:sz="0" w:space="0" w:color="auto"/>
            <w:left w:val="none" w:sz="0" w:space="0" w:color="auto"/>
            <w:bottom w:val="none" w:sz="0" w:space="0" w:color="auto"/>
            <w:right w:val="none" w:sz="0" w:space="0" w:color="auto"/>
          </w:divBdr>
        </w:div>
        <w:div w:id="1455251483">
          <w:marLeft w:val="274"/>
          <w:marRight w:val="86"/>
          <w:marTop w:val="0"/>
          <w:marBottom w:val="0"/>
          <w:divBdr>
            <w:top w:val="none" w:sz="0" w:space="0" w:color="auto"/>
            <w:left w:val="none" w:sz="0" w:space="0" w:color="auto"/>
            <w:bottom w:val="none" w:sz="0" w:space="0" w:color="auto"/>
            <w:right w:val="none" w:sz="0" w:space="0" w:color="auto"/>
          </w:divBdr>
        </w:div>
        <w:div w:id="1504200848">
          <w:marLeft w:val="274"/>
          <w:marRight w:val="86"/>
          <w:marTop w:val="0"/>
          <w:marBottom w:val="0"/>
          <w:divBdr>
            <w:top w:val="none" w:sz="0" w:space="0" w:color="auto"/>
            <w:left w:val="none" w:sz="0" w:space="0" w:color="auto"/>
            <w:bottom w:val="none" w:sz="0" w:space="0" w:color="auto"/>
            <w:right w:val="none" w:sz="0" w:space="0" w:color="auto"/>
          </w:divBdr>
        </w:div>
        <w:div w:id="1513957066">
          <w:marLeft w:val="274"/>
          <w:marRight w:val="86"/>
          <w:marTop w:val="0"/>
          <w:marBottom w:val="0"/>
          <w:divBdr>
            <w:top w:val="none" w:sz="0" w:space="0" w:color="auto"/>
            <w:left w:val="none" w:sz="0" w:space="0" w:color="auto"/>
            <w:bottom w:val="none" w:sz="0" w:space="0" w:color="auto"/>
            <w:right w:val="none" w:sz="0" w:space="0" w:color="auto"/>
          </w:divBdr>
        </w:div>
        <w:div w:id="1526287653">
          <w:marLeft w:val="274"/>
          <w:marRight w:val="86"/>
          <w:marTop w:val="0"/>
          <w:marBottom w:val="0"/>
          <w:divBdr>
            <w:top w:val="none" w:sz="0" w:space="0" w:color="auto"/>
            <w:left w:val="none" w:sz="0" w:space="0" w:color="auto"/>
            <w:bottom w:val="none" w:sz="0" w:space="0" w:color="auto"/>
            <w:right w:val="none" w:sz="0" w:space="0" w:color="auto"/>
          </w:divBdr>
        </w:div>
        <w:div w:id="1571379256">
          <w:marLeft w:val="274"/>
          <w:marRight w:val="86"/>
          <w:marTop w:val="0"/>
          <w:marBottom w:val="0"/>
          <w:divBdr>
            <w:top w:val="none" w:sz="0" w:space="0" w:color="auto"/>
            <w:left w:val="none" w:sz="0" w:space="0" w:color="auto"/>
            <w:bottom w:val="none" w:sz="0" w:space="0" w:color="auto"/>
            <w:right w:val="none" w:sz="0" w:space="0" w:color="auto"/>
          </w:divBdr>
        </w:div>
        <w:div w:id="1584334794">
          <w:marLeft w:val="274"/>
          <w:marRight w:val="86"/>
          <w:marTop w:val="0"/>
          <w:marBottom w:val="0"/>
          <w:divBdr>
            <w:top w:val="none" w:sz="0" w:space="0" w:color="auto"/>
            <w:left w:val="none" w:sz="0" w:space="0" w:color="auto"/>
            <w:bottom w:val="none" w:sz="0" w:space="0" w:color="auto"/>
            <w:right w:val="none" w:sz="0" w:space="0" w:color="auto"/>
          </w:divBdr>
        </w:div>
        <w:div w:id="1596940161">
          <w:marLeft w:val="274"/>
          <w:marRight w:val="86"/>
          <w:marTop w:val="0"/>
          <w:marBottom w:val="0"/>
          <w:divBdr>
            <w:top w:val="none" w:sz="0" w:space="0" w:color="auto"/>
            <w:left w:val="none" w:sz="0" w:space="0" w:color="auto"/>
            <w:bottom w:val="none" w:sz="0" w:space="0" w:color="auto"/>
            <w:right w:val="none" w:sz="0" w:space="0" w:color="auto"/>
          </w:divBdr>
        </w:div>
        <w:div w:id="1603027662">
          <w:marLeft w:val="274"/>
          <w:marRight w:val="86"/>
          <w:marTop w:val="0"/>
          <w:marBottom w:val="0"/>
          <w:divBdr>
            <w:top w:val="none" w:sz="0" w:space="0" w:color="auto"/>
            <w:left w:val="none" w:sz="0" w:space="0" w:color="auto"/>
            <w:bottom w:val="none" w:sz="0" w:space="0" w:color="auto"/>
            <w:right w:val="none" w:sz="0" w:space="0" w:color="auto"/>
          </w:divBdr>
        </w:div>
        <w:div w:id="1656489790">
          <w:marLeft w:val="274"/>
          <w:marRight w:val="86"/>
          <w:marTop w:val="0"/>
          <w:marBottom w:val="0"/>
          <w:divBdr>
            <w:top w:val="none" w:sz="0" w:space="0" w:color="auto"/>
            <w:left w:val="none" w:sz="0" w:space="0" w:color="auto"/>
            <w:bottom w:val="none" w:sz="0" w:space="0" w:color="auto"/>
            <w:right w:val="none" w:sz="0" w:space="0" w:color="auto"/>
          </w:divBdr>
        </w:div>
        <w:div w:id="1670139995">
          <w:marLeft w:val="274"/>
          <w:marRight w:val="86"/>
          <w:marTop w:val="0"/>
          <w:marBottom w:val="0"/>
          <w:divBdr>
            <w:top w:val="none" w:sz="0" w:space="0" w:color="auto"/>
            <w:left w:val="none" w:sz="0" w:space="0" w:color="auto"/>
            <w:bottom w:val="none" w:sz="0" w:space="0" w:color="auto"/>
            <w:right w:val="none" w:sz="0" w:space="0" w:color="auto"/>
          </w:divBdr>
        </w:div>
        <w:div w:id="1675297614">
          <w:marLeft w:val="360"/>
          <w:marRight w:val="288"/>
          <w:marTop w:val="0"/>
          <w:marBottom w:val="0"/>
          <w:divBdr>
            <w:top w:val="none" w:sz="0" w:space="0" w:color="auto"/>
            <w:left w:val="none" w:sz="0" w:space="0" w:color="auto"/>
            <w:bottom w:val="none" w:sz="0" w:space="0" w:color="auto"/>
            <w:right w:val="none" w:sz="0" w:space="0" w:color="auto"/>
          </w:divBdr>
        </w:div>
        <w:div w:id="1714646243">
          <w:marLeft w:val="360"/>
          <w:marRight w:val="288"/>
          <w:marTop w:val="0"/>
          <w:marBottom w:val="0"/>
          <w:divBdr>
            <w:top w:val="none" w:sz="0" w:space="0" w:color="auto"/>
            <w:left w:val="none" w:sz="0" w:space="0" w:color="auto"/>
            <w:bottom w:val="none" w:sz="0" w:space="0" w:color="auto"/>
            <w:right w:val="none" w:sz="0" w:space="0" w:color="auto"/>
          </w:divBdr>
        </w:div>
        <w:div w:id="1716734969">
          <w:marLeft w:val="274"/>
          <w:marRight w:val="0"/>
          <w:marTop w:val="0"/>
          <w:marBottom w:val="0"/>
          <w:divBdr>
            <w:top w:val="none" w:sz="0" w:space="0" w:color="auto"/>
            <w:left w:val="none" w:sz="0" w:space="0" w:color="auto"/>
            <w:bottom w:val="none" w:sz="0" w:space="0" w:color="auto"/>
            <w:right w:val="none" w:sz="0" w:space="0" w:color="auto"/>
          </w:divBdr>
        </w:div>
        <w:div w:id="1717050199">
          <w:marLeft w:val="274"/>
          <w:marRight w:val="86"/>
          <w:marTop w:val="0"/>
          <w:marBottom w:val="0"/>
          <w:divBdr>
            <w:top w:val="none" w:sz="0" w:space="0" w:color="auto"/>
            <w:left w:val="none" w:sz="0" w:space="0" w:color="auto"/>
            <w:bottom w:val="none" w:sz="0" w:space="0" w:color="auto"/>
            <w:right w:val="none" w:sz="0" w:space="0" w:color="auto"/>
          </w:divBdr>
        </w:div>
        <w:div w:id="1734349474">
          <w:marLeft w:val="274"/>
          <w:marRight w:val="86"/>
          <w:marTop w:val="0"/>
          <w:marBottom w:val="0"/>
          <w:divBdr>
            <w:top w:val="none" w:sz="0" w:space="0" w:color="auto"/>
            <w:left w:val="none" w:sz="0" w:space="0" w:color="auto"/>
            <w:bottom w:val="none" w:sz="0" w:space="0" w:color="auto"/>
            <w:right w:val="none" w:sz="0" w:space="0" w:color="auto"/>
          </w:divBdr>
        </w:div>
        <w:div w:id="1743067195">
          <w:marLeft w:val="274"/>
          <w:marRight w:val="86"/>
          <w:marTop w:val="0"/>
          <w:marBottom w:val="0"/>
          <w:divBdr>
            <w:top w:val="none" w:sz="0" w:space="0" w:color="auto"/>
            <w:left w:val="none" w:sz="0" w:space="0" w:color="auto"/>
            <w:bottom w:val="none" w:sz="0" w:space="0" w:color="auto"/>
            <w:right w:val="none" w:sz="0" w:space="0" w:color="auto"/>
          </w:divBdr>
        </w:div>
        <w:div w:id="1754207408">
          <w:marLeft w:val="360"/>
          <w:marRight w:val="288"/>
          <w:marTop w:val="0"/>
          <w:marBottom w:val="0"/>
          <w:divBdr>
            <w:top w:val="none" w:sz="0" w:space="0" w:color="auto"/>
            <w:left w:val="none" w:sz="0" w:space="0" w:color="auto"/>
            <w:bottom w:val="none" w:sz="0" w:space="0" w:color="auto"/>
            <w:right w:val="none" w:sz="0" w:space="0" w:color="auto"/>
          </w:divBdr>
        </w:div>
        <w:div w:id="1758672017">
          <w:marLeft w:val="274"/>
          <w:marRight w:val="86"/>
          <w:marTop w:val="0"/>
          <w:marBottom w:val="0"/>
          <w:divBdr>
            <w:top w:val="none" w:sz="0" w:space="0" w:color="auto"/>
            <w:left w:val="none" w:sz="0" w:space="0" w:color="auto"/>
            <w:bottom w:val="none" w:sz="0" w:space="0" w:color="auto"/>
            <w:right w:val="none" w:sz="0" w:space="0" w:color="auto"/>
          </w:divBdr>
        </w:div>
        <w:div w:id="1797144257">
          <w:marLeft w:val="274"/>
          <w:marRight w:val="86"/>
          <w:marTop w:val="0"/>
          <w:marBottom w:val="0"/>
          <w:divBdr>
            <w:top w:val="none" w:sz="0" w:space="0" w:color="auto"/>
            <w:left w:val="none" w:sz="0" w:space="0" w:color="auto"/>
            <w:bottom w:val="none" w:sz="0" w:space="0" w:color="auto"/>
            <w:right w:val="none" w:sz="0" w:space="0" w:color="auto"/>
          </w:divBdr>
        </w:div>
        <w:div w:id="1808280477">
          <w:marLeft w:val="274"/>
          <w:marRight w:val="86"/>
          <w:marTop w:val="0"/>
          <w:marBottom w:val="0"/>
          <w:divBdr>
            <w:top w:val="none" w:sz="0" w:space="0" w:color="auto"/>
            <w:left w:val="none" w:sz="0" w:space="0" w:color="auto"/>
            <w:bottom w:val="none" w:sz="0" w:space="0" w:color="auto"/>
            <w:right w:val="none" w:sz="0" w:space="0" w:color="auto"/>
          </w:divBdr>
        </w:div>
        <w:div w:id="1827741105">
          <w:marLeft w:val="360"/>
          <w:marRight w:val="288"/>
          <w:marTop w:val="0"/>
          <w:marBottom w:val="0"/>
          <w:divBdr>
            <w:top w:val="none" w:sz="0" w:space="0" w:color="auto"/>
            <w:left w:val="none" w:sz="0" w:space="0" w:color="auto"/>
            <w:bottom w:val="none" w:sz="0" w:space="0" w:color="auto"/>
            <w:right w:val="none" w:sz="0" w:space="0" w:color="auto"/>
          </w:divBdr>
        </w:div>
        <w:div w:id="1853841133">
          <w:marLeft w:val="274"/>
          <w:marRight w:val="86"/>
          <w:marTop w:val="0"/>
          <w:marBottom w:val="0"/>
          <w:divBdr>
            <w:top w:val="none" w:sz="0" w:space="0" w:color="auto"/>
            <w:left w:val="none" w:sz="0" w:space="0" w:color="auto"/>
            <w:bottom w:val="none" w:sz="0" w:space="0" w:color="auto"/>
            <w:right w:val="none" w:sz="0" w:space="0" w:color="auto"/>
          </w:divBdr>
        </w:div>
        <w:div w:id="1860971599">
          <w:marLeft w:val="274"/>
          <w:marRight w:val="86"/>
          <w:marTop w:val="0"/>
          <w:marBottom w:val="0"/>
          <w:divBdr>
            <w:top w:val="none" w:sz="0" w:space="0" w:color="auto"/>
            <w:left w:val="none" w:sz="0" w:space="0" w:color="auto"/>
            <w:bottom w:val="none" w:sz="0" w:space="0" w:color="auto"/>
            <w:right w:val="none" w:sz="0" w:space="0" w:color="auto"/>
          </w:divBdr>
        </w:div>
        <w:div w:id="1865746789">
          <w:marLeft w:val="274"/>
          <w:marRight w:val="86"/>
          <w:marTop w:val="0"/>
          <w:marBottom w:val="0"/>
          <w:divBdr>
            <w:top w:val="none" w:sz="0" w:space="0" w:color="auto"/>
            <w:left w:val="none" w:sz="0" w:space="0" w:color="auto"/>
            <w:bottom w:val="none" w:sz="0" w:space="0" w:color="auto"/>
            <w:right w:val="none" w:sz="0" w:space="0" w:color="auto"/>
          </w:divBdr>
        </w:div>
        <w:div w:id="1900244094">
          <w:marLeft w:val="274"/>
          <w:marRight w:val="86"/>
          <w:marTop w:val="0"/>
          <w:marBottom w:val="0"/>
          <w:divBdr>
            <w:top w:val="none" w:sz="0" w:space="0" w:color="auto"/>
            <w:left w:val="none" w:sz="0" w:space="0" w:color="auto"/>
            <w:bottom w:val="none" w:sz="0" w:space="0" w:color="auto"/>
            <w:right w:val="none" w:sz="0" w:space="0" w:color="auto"/>
          </w:divBdr>
        </w:div>
        <w:div w:id="1961496354">
          <w:marLeft w:val="274"/>
          <w:marRight w:val="0"/>
          <w:marTop w:val="0"/>
          <w:marBottom w:val="0"/>
          <w:divBdr>
            <w:top w:val="none" w:sz="0" w:space="0" w:color="auto"/>
            <w:left w:val="none" w:sz="0" w:space="0" w:color="auto"/>
            <w:bottom w:val="none" w:sz="0" w:space="0" w:color="auto"/>
            <w:right w:val="none" w:sz="0" w:space="0" w:color="auto"/>
          </w:divBdr>
        </w:div>
        <w:div w:id="1968008929">
          <w:marLeft w:val="274"/>
          <w:marRight w:val="86"/>
          <w:marTop w:val="0"/>
          <w:marBottom w:val="0"/>
          <w:divBdr>
            <w:top w:val="none" w:sz="0" w:space="0" w:color="auto"/>
            <w:left w:val="none" w:sz="0" w:space="0" w:color="auto"/>
            <w:bottom w:val="none" w:sz="0" w:space="0" w:color="auto"/>
            <w:right w:val="none" w:sz="0" w:space="0" w:color="auto"/>
          </w:divBdr>
        </w:div>
        <w:div w:id="1971399330">
          <w:marLeft w:val="274"/>
          <w:marRight w:val="86"/>
          <w:marTop w:val="0"/>
          <w:marBottom w:val="0"/>
          <w:divBdr>
            <w:top w:val="none" w:sz="0" w:space="0" w:color="auto"/>
            <w:left w:val="none" w:sz="0" w:space="0" w:color="auto"/>
            <w:bottom w:val="none" w:sz="0" w:space="0" w:color="auto"/>
            <w:right w:val="none" w:sz="0" w:space="0" w:color="auto"/>
          </w:divBdr>
        </w:div>
        <w:div w:id="1976986798">
          <w:marLeft w:val="274"/>
          <w:marRight w:val="86"/>
          <w:marTop w:val="0"/>
          <w:marBottom w:val="0"/>
          <w:divBdr>
            <w:top w:val="none" w:sz="0" w:space="0" w:color="auto"/>
            <w:left w:val="none" w:sz="0" w:space="0" w:color="auto"/>
            <w:bottom w:val="none" w:sz="0" w:space="0" w:color="auto"/>
            <w:right w:val="none" w:sz="0" w:space="0" w:color="auto"/>
          </w:divBdr>
        </w:div>
        <w:div w:id="1989361953">
          <w:marLeft w:val="274"/>
          <w:marRight w:val="86"/>
          <w:marTop w:val="0"/>
          <w:marBottom w:val="0"/>
          <w:divBdr>
            <w:top w:val="none" w:sz="0" w:space="0" w:color="auto"/>
            <w:left w:val="none" w:sz="0" w:space="0" w:color="auto"/>
            <w:bottom w:val="none" w:sz="0" w:space="0" w:color="auto"/>
            <w:right w:val="none" w:sz="0" w:space="0" w:color="auto"/>
          </w:divBdr>
        </w:div>
        <w:div w:id="2005473495">
          <w:marLeft w:val="274"/>
          <w:marRight w:val="86"/>
          <w:marTop w:val="0"/>
          <w:marBottom w:val="0"/>
          <w:divBdr>
            <w:top w:val="none" w:sz="0" w:space="0" w:color="auto"/>
            <w:left w:val="none" w:sz="0" w:space="0" w:color="auto"/>
            <w:bottom w:val="none" w:sz="0" w:space="0" w:color="auto"/>
            <w:right w:val="none" w:sz="0" w:space="0" w:color="auto"/>
          </w:divBdr>
        </w:div>
        <w:div w:id="2057309301">
          <w:marLeft w:val="274"/>
          <w:marRight w:val="86"/>
          <w:marTop w:val="0"/>
          <w:marBottom w:val="0"/>
          <w:divBdr>
            <w:top w:val="none" w:sz="0" w:space="0" w:color="auto"/>
            <w:left w:val="none" w:sz="0" w:space="0" w:color="auto"/>
            <w:bottom w:val="none" w:sz="0" w:space="0" w:color="auto"/>
            <w:right w:val="none" w:sz="0" w:space="0" w:color="auto"/>
          </w:divBdr>
        </w:div>
        <w:div w:id="2079130045">
          <w:marLeft w:val="274"/>
          <w:marRight w:val="86"/>
          <w:marTop w:val="0"/>
          <w:marBottom w:val="0"/>
          <w:divBdr>
            <w:top w:val="none" w:sz="0" w:space="0" w:color="auto"/>
            <w:left w:val="none" w:sz="0" w:space="0" w:color="auto"/>
            <w:bottom w:val="none" w:sz="0" w:space="0" w:color="auto"/>
            <w:right w:val="none" w:sz="0" w:space="0" w:color="auto"/>
          </w:divBdr>
        </w:div>
        <w:div w:id="2104179199">
          <w:marLeft w:val="274"/>
          <w:marRight w:val="86"/>
          <w:marTop w:val="0"/>
          <w:marBottom w:val="0"/>
          <w:divBdr>
            <w:top w:val="none" w:sz="0" w:space="0" w:color="auto"/>
            <w:left w:val="none" w:sz="0" w:space="0" w:color="auto"/>
            <w:bottom w:val="none" w:sz="0" w:space="0" w:color="auto"/>
            <w:right w:val="none" w:sz="0" w:space="0" w:color="auto"/>
          </w:divBdr>
        </w:div>
        <w:div w:id="2113162837">
          <w:marLeft w:val="274"/>
          <w:marRight w:val="86"/>
          <w:marTop w:val="0"/>
          <w:marBottom w:val="0"/>
          <w:divBdr>
            <w:top w:val="none" w:sz="0" w:space="0" w:color="auto"/>
            <w:left w:val="none" w:sz="0" w:space="0" w:color="auto"/>
            <w:bottom w:val="none" w:sz="0" w:space="0" w:color="auto"/>
            <w:right w:val="none" w:sz="0" w:space="0" w:color="auto"/>
          </w:divBdr>
        </w:div>
        <w:div w:id="2137528925">
          <w:marLeft w:val="274"/>
          <w:marRight w:val="86"/>
          <w:marTop w:val="0"/>
          <w:marBottom w:val="0"/>
          <w:divBdr>
            <w:top w:val="none" w:sz="0" w:space="0" w:color="auto"/>
            <w:left w:val="none" w:sz="0" w:space="0" w:color="auto"/>
            <w:bottom w:val="none" w:sz="0" w:space="0" w:color="auto"/>
            <w:right w:val="none" w:sz="0" w:space="0" w:color="auto"/>
          </w:divBdr>
        </w:div>
      </w:divsChild>
    </w:div>
    <w:div w:id="1310666272">
      <w:bodyDiv w:val="1"/>
      <w:marLeft w:val="0"/>
      <w:marRight w:val="0"/>
      <w:marTop w:val="0"/>
      <w:marBottom w:val="0"/>
      <w:divBdr>
        <w:top w:val="none" w:sz="0" w:space="0" w:color="auto"/>
        <w:left w:val="none" w:sz="0" w:space="0" w:color="auto"/>
        <w:bottom w:val="none" w:sz="0" w:space="0" w:color="auto"/>
        <w:right w:val="none" w:sz="0" w:space="0" w:color="auto"/>
      </w:divBdr>
    </w:div>
    <w:div w:id="1320844302">
      <w:bodyDiv w:val="1"/>
      <w:marLeft w:val="0"/>
      <w:marRight w:val="0"/>
      <w:marTop w:val="0"/>
      <w:marBottom w:val="0"/>
      <w:divBdr>
        <w:top w:val="none" w:sz="0" w:space="0" w:color="auto"/>
        <w:left w:val="none" w:sz="0" w:space="0" w:color="auto"/>
        <w:bottom w:val="none" w:sz="0" w:space="0" w:color="auto"/>
        <w:right w:val="none" w:sz="0" w:space="0" w:color="auto"/>
      </w:divBdr>
    </w:div>
    <w:div w:id="1331250667">
      <w:bodyDiv w:val="1"/>
      <w:marLeft w:val="0"/>
      <w:marRight w:val="0"/>
      <w:marTop w:val="0"/>
      <w:marBottom w:val="0"/>
      <w:divBdr>
        <w:top w:val="none" w:sz="0" w:space="0" w:color="auto"/>
        <w:left w:val="none" w:sz="0" w:space="0" w:color="auto"/>
        <w:bottom w:val="none" w:sz="0" w:space="0" w:color="auto"/>
        <w:right w:val="none" w:sz="0" w:space="0" w:color="auto"/>
      </w:divBdr>
    </w:div>
    <w:div w:id="1344166094">
      <w:bodyDiv w:val="1"/>
      <w:marLeft w:val="0"/>
      <w:marRight w:val="0"/>
      <w:marTop w:val="0"/>
      <w:marBottom w:val="0"/>
      <w:divBdr>
        <w:top w:val="none" w:sz="0" w:space="0" w:color="auto"/>
        <w:left w:val="none" w:sz="0" w:space="0" w:color="auto"/>
        <w:bottom w:val="none" w:sz="0" w:space="0" w:color="auto"/>
        <w:right w:val="none" w:sz="0" w:space="0" w:color="auto"/>
      </w:divBdr>
      <w:divsChild>
        <w:div w:id="2041659395">
          <w:marLeft w:val="634"/>
          <w:marRight w:val="0"/>
          <w:marTop w:val="0"/>
          <w:marBottom w:val="0"/>
          <w:divBdr>
            <w:top w:val="none" w:sz="0" w:space="0" w:color="auto"/>
            <w:left w:val="none" w:sz="0" w:space="0" w:color="auto"/>
            <w:bottom w:val="none" w:sz="0" w:space="0" w:color="auto"/>
            <w:right w:val="none" w:sz="0" w:space="0" w:color="auto"/>
          </w:divBdr>
        </w:div>
      </w:divsChild>
    </w:div>
    <w:div w:id="1368143850">
      <w:bodyDiv w:val="1"/>
      <w:marLeft w:val="0"/>
      <w:marRight w:val="0"/>
      <w:marTop w:val="0"/>
      <w:marBottom w:val="0"/>
      <w:divBdr>
        <w:top w:val="none" w:sz="0" w:space="0" w:color="auto"/>
        <w:left w:val="none" w:sz="0" w:space="0" w:color="auto"/>
        <w:bottom w:val="none" w:sz="0" w:space="0" w:color="auto"/>
        <w:right w:val="none" w:sz="0" w:space="0" w:color="auto"/>
      </w:divBdr>
      <w:divsChild>
        <w:div w:id="345865684">
          <w:marLeft w:val="446"/>
          <w:marRight w:val="0"/>
          <w:marTop w:val="120"/>
          <w:marBottom w:val="120"/>
          <w:divBdr>
            <w:top w:val="none" w:sz="0" w:space="0" w:color="auto"/>
            <w:left w:val="none" w:sz="0" w:space="0" w:color="auto"/>
            <w:bottom w:val="none" w:sz="0" w:space="0" w:color="auto"/>
            <w:right w:val="none" w:sz="0" w:space="0" w:color="auto"/>
          </w:divBdr>
        </w:div>
        <w:div w:id="1666786205">
          <w:marLeft w:val="446"/>
          <w:marRight w:val="0"/>
          <w:marTop w:val="120"/>
          <w:marBottom w:val="120"/>
          <w:divBdr>
            <w:top w:val="none" w:sz="0" w:space="0" w:color="auto"/>
            <w:left w:val="none" w:sz="0" w:space="0" w:color="auto"/>
            <w:bottom w:val="none" w:sz="0" w:space="0" w:color="auto"/>
            <w:right w:val="none" w:sz="0" w:space="0" w:color="auto"/>
          </w:divBdr>
        </w:div>
      </w:divsChild>
    </w:div>
    <w:div w:id="1400984101">
      <w:bodyDiv w:val="1"/>
      <w:marLeft w:val="0"/>
      <w:marRight w:val="0"/>
      <w:marTop w:val="0"/>
      <w:marBottom w:val="0"/>
      <w:divBdr>
        <w:top w:val="none" w:sz="0" w:space="0" w:color="auto"/>
        <w:left w:val="none" w:sz="0" w:space="0" w:color="auto"/>
        <w:bottom w:val="none" w:sz="0" w:space="0" w:color="auto"/>
        <w:right w:val="none" w:sz="0" w:space="0" w:color="auto"/>
      </w:divBdr>
      <w:divsChild>
        <w:div w:id="107237718">
          <w:marLeft w:val="274"/>
          <w:marRight w:val="0"/>
          <w:marTop w:val="120"/>
          <w:marBottom w:val="120"/>
          <w:divBdr>
            <w:top w:val="none" w:sz="0" w:space="0" w:color="auto"/>
            <w:left w:val="none" w:sz="0" w:space="0" w:color="auto"/>
            <w:bottom w:val="none" w:sz="0" w:space="0" w:color="auto"/>
            <w:right w:val="none" w:sz="0" w:space="0" w:color="auto"/>
          </w:divBdr>
        </w:div>
        <w:div w:id="187527347">
          <w:marLeft w:val="274"/>
          <w:marRight w:val="0"/>
          <w:marTop w:val="120"/>
          <w:marBottom w:val="120"/>
          <w:divBdr>
            <w:top w:val="none" w:sz="0" w:space="0" w:color="auto"/>
            <w:left w:val="none" w:sz="0" w:space="0" w:color="auto"/>
            <w:bottom w:val="none" w:sz="0" w:space="0" w:color="auto"/>
            <w:right w:val="none" w:sz="0" w:space="0" w:color="auto"/>
          </w:divBdr>
        </w:div>
        <w:div w:id="603655995">
          <w:marLeft w:val="274"/>
          <w:marRight w:val="0"/>
          <w:marTop w:val="120"/>
          <w:marBottom w:val="120"/>
          <w:divBdr>
            <w:top w:val="none" w:sz="0" w:space="0" w:color="auto"/>
            <w:left w:val="none" w:sz="0" w:space="0" w:color="auto"/>
            <w:bottom w:val="none" w:sz="0" w:space="0" w:color="auto"/>
            <w:right w:val="none" w:sz="0" w:space="0" w:color="auto"/>
          </w:divBdr>
        </w:div>
        <w:div w:id="804153782">
          <w:marLeft w:val="274"/>
          <w:marRight w:val="0"/>
          <w:marTop w:val="120"/>
          <w:marBottom w:val="120"/>
          <w:divBdr>
            <w:top w:val="none" w:sz="0" w:space="0" w:color="auto"/>
            <w:left w:val="none" w:sz="0" w:space="0" w:color="auto"/>
            <w:bottom w:val="none" w:sz="0" w:space="0" w:color="auto"/>
            <w:right w:val="none" w:sz="0" w:space="0" w:color="auto"/>
          </w:divBdr>
        </w:div>
        <w:div w:id="1320160045">
          <w:marLeft w:val="274"/>
          <w:marRight w:val="0"/>
          <w:marTop w:val="120"/>
          <w:marBottom w:val="120"/>
          <w:divBdr>
            <w:top w:val="none" w:sz="0" w:space="0" w:color="auto"/>
            <w:left w:val="none" w:sz="0" w:space="0" w:color="auto"/>
            <w:bottom w:val="none" w:sz="0" w:space="0" w:color="auto"/>
            <w:right w:val="none" w:sz="0" w:space="0" w:color="auto"/>
          </w:divBdr>
        </w:div>
        <w:div w:id="1714422424">
          <w:marLeft w:val="274"/>
          <w:marRight w:val="0"/>
          <w:marTop w:val="120"/>
          <w:marBottom w:val="120"/>
          <w:divBdr>
            <w:top w:val="none" w:sz="0" w:space="0" w:color="auto"/>
            <w:left w:val="none" w:sz="0" w:space="0" w:color="auto"/>
            <w:bottom w:val="none" w:sz="0" w:space="0" w:color="auto"/>
            <w:right w:val="none" w:sz="0" w:space="0" w:color="auto"/>
          </w:divBdr>
        </w:div>
        <w:div w:id="2070379190">
          <w:marLeft w:val="274"/>
          <w:marRight w:val="0"/>
          <w:marTop w:val="120"/>
          <w:marBottom w:val="120"/>
          <w:divBdr>
            <w:top w:val="none" w:sz="0" w:space="0" w:color="auto"/>
            <w:left w:val="none" w:sz="0" w:space="0" w:color="auto"/>
            <w:bottom w:val="none" w:sz="0" w:space="0" w:color="auto"/>
            <w:right w:val="none" w:sz="0" w:space="0" w:color="auto"/>
          </w:divBdr>
        </w:div>
      </w:divsChild>
    </w:div>
    <w:div w:id="1402871328">
      <w:bodyDiv w:val="1"/>
      <w:marLeft w:val="0"/>
      <w:marRight w:val="0"/>
      <w:marTop w:val="0"/>
      <w:marBottom w:val="0"/>
      <w:divBdr>
        <w:top w:val="none" w:sz="0" w:space="0" w:color="auto"/>
        <w:left w:val="none" w:sz="0" w:space="0" w:color="auto"/>
        <w:bottom w:val="none" w:sz="0" w:space="0" w:color="auto"/>
        <w:right w:val="none" w:sz="0" w:space="0" w:color="auto"/>
      </w:divBdr>
    </w:div>
    <w:div w:id="1417021394">
      <w:bodyDiv w:val="1"/>
      <w:marLeft w:val="0"/>
      <w:marRight w:val="0"/>
      <w:marTop w:val="0"/>
      <w:marBottom w:val="0"/>
      <w:divBdr>
        <w:top w:val="none" w:sz="0" w:space="0" w:color="auto"/>
        <w:left w:val="none" w:sz="0" w:space="0" w:color="auto"/>
        <w:bottom w:val="none" w:sz="0" w:space="0" w:color="auto"/>
        <w:right w:val="none" w:sz="0" w:space="0" w:color="auto"/>
      </w:divBdr>
    </w:div>
    <w:div w:id="1421029448">
      <w:bodyDiv w:val="1"/>
      <w:marLeft w:val="0"/>
      <w:marRight w:val="0"/>
      <w:marTop w:val="0"/>
      <w:marBottom w:val="0"/>
      <w:divBdr>
        <w:top w:val="none" w:sz="0" w:space="0" w:color="auto"/>
        <w:left w:val="none" w:sz="0" w:space="0" w:color="auto"/>
        <w:bottom w:val="none" w:sz="0" w:space="0" w:color="auto"/>
        <w:right w:val="none" w:sz="0" w:space="0" w:color="auto"/>
      </w:divBdr>
    </w:div>
    <w:div w:id="1426071770">
      <w:bodyDiv w:val="1"/>
      <w:marLeft w:val="0"/>
      <w:marRight w:val="0"/>
      <w:marTop w:val="0"/>
      <w:marBottom w:val="0"/>
      <w:divBdr>
        <w:top w:val="none" w:sz="0" w:space="0" w:color="auto"/>
        <w:left w:val="none" w:sz="0" w:space="0" w:color="auto"/>
        <w:bottom w:val="none" w:sz="0" w:space="0" w:color="auto"/>
        <w:right w:val="none" w:sz="0" w:space="0" w:color="auto"/>
      </w:divBdr>
    </w:div>
    <w:div w:id="1436441184">
      <w:bodyDiv w:val="1"/>
      <w:marLeft w:val="0"/>
      <w:marRight w:val="0"/>
      <w:marTop w:val="0"/>
      <w:marBottom w:val="0"/>
      <w:divBdr>
        <w:top w:val="none" w:sz="0" w:space="0" w:color="auto"/>
        <w:left w:val="none" w:sz="0" w:space="0" w:color="auto"/>
        <w:bottom w:val="none" w:sz="0" w:space="0" w:color="auto"/>
        <w:right w:val="none" w:sz="0" w:space="0" w:color="auto"/>
      </w:divBdr>
      <w:divsChild>
        <w:div w:id="73016480">
          <w:marLeft w:val="274"/>
          <w:marRight w:val="0"/>
          <w:marTop w:val="0"/>
          <w:marBottom w:val="0"/>
          <w:divBdr>
            <w:top w:val="none" w:sz="0" w:space="0" w:color="auto"/>
            <w:left w:val="none" w:sz="0" w:space="0" w:color="auto"/>
            <w:bottom w:val="none" w:sz="0" w:space="0" w:color="auto"/>
            <w:right w:val="none" w:sz="0" w:space="0" w:color="auto"/>
          </w:divBdr>
        </w:div>
        <w:div w:id="227232845">
          <w:marLeft w:val="274"/>
          <w:marRight w:val="0"/>
          <w:marTop w:val="0"/>
          <w:marBottom w:val="0"/>
          <w:divBdr>
            <w:top w:val="none" w:sz="0" w:space="0" w:color="auto"/>
            <w:left w:val="none" w:sz="0" w:space="0" w:color="auto"/>
            <w:bottom w:val="none" w:sz="0" w:space="0" w:color="auto"/>
            <w:right w:val="none" w:sz="0" w:space="0" w:color="auto"/>
          </w:divBdr>
        </w:div>
        <w:div w:id="287515269">
          <w:marLeft w:val="274"/>
          <w:marRight w:val="0"/>
          <w:marTop w:val="0"/>
          <w:marBottom w:val="0"/>
          <w:divBdr>
            <w:top w:val="none" w:sz="0" w:space="0" w:color="auto"/>
            <w:left w:val="none" w:sz="0" w:space="0" w:color="auto"/>
            <w:bottom w:val="none" w:sz="0" w:space="0" w:color="auto"/>
            <w:right w:val="none" w:sz="0" w:space="0" w:color="auto"/>
          </w:divBdr>
        </w:div>
        <w:div w:id="309098531">
          <w:marLeft w:val="274"/>
          <w:marRight w:val="0"/>
          <w:marTop w:val="0"/>
          <w:marBottom w:val="0"/>
          <w:divBdr>
            <w:top w:val="none" w:sz="0" w:space="0" w:color="auto"/>
            <w:left w:val="none" w:sz="0" w:space="0" w:color="auto"/>
            <w:bottom w:val="none" w:sz="0" w:space="0" w:color="auto"/>
            <w:right w:val="none" w:sz="0" w:space="0" w:color="auto"/>
          </w:divBdr>
        </w:div>
        <w:div w:id="355079486">
          <w:marLeft w:val="274"/>
          <w:marRight w:val="0"/>
          <w:marTop w:val="0"/>
          <w:marBottom w:val="0"/>
          <w:divBdr>
            <w:top w:val="none" w:sz="0" w:space="0" w:color="auto"/>
            <w:left w:val="none" w:sz="0" w:space="0" w:color="auto"/>
            <w:bottom w:val="none" w:sz="0" w:space="0" w:color="auto"/>
            <w:right w:val="none" w:sz="0" w:space="0" w:color="auto"/>
          </w:divBdr>
        </w:div>
        <w:div w:id="486017815">
          <w:marLeft w:val="274"/>
          <w:marRight w:val="0"/>
          <w:marTop w:val="0"/>
          <w:marBottom w:val="0"/>
          <w:divBdr>
            <w:top w:val="none" w:sz="0" w:space="0" w:color="auto"/>
            <w:left w:val="none" w:sz="0" w:space="0" w:color="auto"/>
            <w:bottom w:val="none" w:sz="0" w:space="0" w:color="auto"/>
            <w:right w:val="none" w:sz="0" w:space="0" w:color="auto"/>
          </w:divBdr>
        </w:div>
        <w:div w:id="496460650">
          <w:marLeft w:val="274"/>
          <w:marRight w:val="0"/>
          <w:marTop w:val="0"/>
          <w:marBottom w:val="0"/>
          <w:divBdr>
            <w:top w:val="none" w:sz="0" w:space="0" w:color="auto"/>
            <w:left w:val="none" w:sz="0" w:space="0" w:color="auto"/>
            <w:bottom w:val="none" w:sz="0" w:space="0" w:color="auto"/>
            <w:right w:val="none" w:sz="0" w:space="0" w:color="auto"/>
          </w:divBdr>
        </w:div>
        <w:div w:id="655961551">
          <w:marLeft w:val="274"/>
          <w:marRight w:val="0"/>
          <w:marTop w:val="0"/>
          <w:marBottom w:val="0"/>
          <w:divBdr>
            <w:top w:val="none" w:sz="0" w:space="0" w:color="auto"/>
            <w:left w:val="none" w:sz="0" w:space="0" w:color="auto"/>
            <w:bottom w:val="none" w:sz="0" w:space="0" w:color="auto"/>
            <w:right w:val="none" w:sz="0" w:space="0" w:color="auto"/>
          </w:divBdr>
        </w:div>
        <w:div w:id="792597558">
          <w:marLeft w:val="274"/>
          <w:marRight w:val="0"/>
          <w:marTop w:val="0"/>
          <w:marBottom w:val="0"/>
          <w:divBdr>
            <w:top w:val="none" w:sz="0" w:space="0" w:color="auto"/>
            <w:left w:val="none" w:sz="0" w:space="0" w:color="auto"/>
            <w:bottom w:val="none" w:sz="0" w:space="0" w:color="auto"/>
            <w:right w:val="none" w:sz="0" w:space="0" w:color="auto"/>
          </w:divBdr>
        </w:div>
        <w:div w:id="941110176">
          <w:marLeft w:val="274"/>
          <w:marRight w:val="0"/>
          <w:marTop w:val="0"/>
          <w:marBottom w:val="0"/>
          <w:divBdr>
            <w:top w:val="none" w:sz="0" w:space="0" w:color="auto"/>
            <w:left w:val="none" w:sz="0" w:space="0" w:color="auto"/>
            <w:bottom w:val="none" w:sz="0" w:space="0" w:color="auto"/>
            <w:right w:val="none" w:sz="0" w:space="0" w:color="auto"/>
          </w:divBdr>
        </w:div>
        <w:div w:id="1147938284">
          <w:marLeft w:val="274"/>
          <w:marRight w:val="0"/>
          <w:marTop w:val="0"/>
          <w:marBottom w:val="0"/>
          <w:divBdr>
            <w:top w:val="none" w:sz="0" w:space="0" w:color="auto"/>
            <w:left w:val="none" w:sz="0" w:space="0" w:color="auto"/>
            <w:bottom w:val="none" w:sz="0" w:space="0" w:color="auto"/>
            <w:right w:val="none" w:sz="0" w:space="0" w:color="auto"/>
          </w:divBdr>
        </w:div>
        <w:div w:id="1211650543">
          <w:marLeft w:val="274"/>
          <w:marRight w:val="0"/>
          <w:marTop w:val="0"/>
          <w:marBottom w:val="0"/>
          <w:divBdr>
            <w:top w:val="none" w:sz="0" w:space="0" w:color="auto"/>
            <w:left w:val="none" w:sz="0" w:space="0" w:color="auto"/>
            <w:bottom w:val="none" w:sz="0" w:space="0" w:color="auto"/>
            <w:right w:val="none" w:sz="0" w:space="0" w:color="auto"/>
          </w:divBdr>
        </w:div>
        <w:div w:id="1361972645">
          <w:marLeft w:val="274"/>
          <w:marRight w:val="0"/>
          <w:marTop w:val="0"/>
          <w:marBottom w:val="0"/>
          <w:divBdr>
            <w:top w:val="none" w:sz="0" w:space="0" w:color="auto"/>
            <w:left w:val="none" w:sz="0" w:space="0" w:color="auto"/>
            <w:bottom w:val="none" w:sz="0" w:space="0" w:color="auto"/>
            <w:right w:val="none" w:sz="0" w:space="0" w:color="auto"/>
          </w:divBdr>
        </w:div>
        <w:div w:id="1377852738">
          <w:marLeft w:val="274"/>
          <w:marRight w:val="0"/>
          <w:marTop w:val="0"/>
          <w:marBottom w:val="0"/>
          <w:divBdr>
            <w:top w:val="none" w:sz="0" w:space="0" w:color="auto"/>
            <w:left w:val="none" w:sz="0" w:space="0" w:color="auto"/>
            <w:bottom w:val="none" w:sz="0" w:space="0" w:color="auto"/>
            <w:right w:val="none" w:sz="0" w:space="0" w:color="auto"/>
          </w:divBdr>
        </w:div>
        <w:div w:id="1382165901">
          <w:marLeft w:val="274"/>
          <w:marRight w:val="0"/>
          <w:marTop w:val="0"/>
          <w:marBottom w:val="0"/>
          <w:divBdr>
            <w:top w:val="none" w:sz="0" w:space="0" w:color="auto"/>
            <w:left w:val="none" w:sz="0" w:space="0" w:color="auto"/>
            <w:bottom w:val="none" w:sz="0" w:space="0" w:color="auto"/>
            <w:right w:val="none" w:sz="0" w:space="0" w:color="auto"/>
          </w:divBdr>
        </w:div>
        <w:div w:id="1571229509">
          <w:marLeft w:val="274"/>
          <w:marRight w:val="0"/>
          <w:marTop w:val="0"/>
          <w:marBottom w:val="0"/>
          <w:divBdr>
            <w:top w:val="none" w:sz="0" w:space="0" w:color="auto"/>
            <w:left w:val="none" w:sz="0" w:space="0" w:color="auto"/>
            <w:bottom w:val="none" w:sz="0" w:space="0" w:color="auto"/>
            <w:right w:val="none" w:sz="0" w:space="0" w:color="auto"/>
          </w:divBdr>
        </w:div>
        <w:div w:id="1627005513">
          <w:marLeft w:val="274"/>
          <w:marRight w:val="0"/>
          <w:marTop w:val="0"/>
          <w:marBottom w:val="0"/>
          <w:divBdr>
            <w:top w:val="none" w:sz="0" w:space="0" w:color="auto"/>
            <w:left w:val="none" w:sz="0" w:space="0" w:color="auto"/>
            <w:bottom w:val="none" w:sz="0" w:space="0" w:color="auto"/>
            <w:right w:val="none" w:sz="0" w:space="0" w:color="auto"/>
          </w:divBdr>
        </w:div>
        <w:div w:id="1681347423">
          <w:marLeft w:val="274"/>
          <w:marRight w:val="0"/>
          <w:marTop w:val="0"/>
          <w:marBottom w:val="0"/>
          <w:divBdr>
            <w:top w:val="none" w:sz="0" w:space="0" w:color="auto"/>
            <w:left w:val="none" w:sz="0" w:space="0" w:color="auto"/>
            <w:bottom w:val="none" w:sz="0" w:space="0" w:color="auto"/>
            <w:right w:val="none" w:sz="0" w:space="0" w:color="auto"/>
          </w:divBdr>
        </w:div>
        <w:div w:id="1701473184">
          <w:marLeft w:val="274"/>
          <w:marRight w:val="0"/>
          <w:marTop w:val="0"/>
          <w:marBottom w:val="0"/>
          <w:divBdr>
            <w:top w:val="none" w:sz="0" w:space="0" w:color="auto"/>
            <w:left w:val="none" w:sz="0" w:space="0" w:color="auto"/>
            <w:bottom w:val="none" w:sz="0" w:space="0" w:color="auto"/>
            <w:right w:val="none" w:sz="0" w:space="0" w:color="auto"/>
          </w:divBdr>
        </w:div>
        <w:div w:id="1864516028">
          <w:marLeft w:val="274"/>
          <w:marRight w:val="0"/>
          <w:marTop w:val="0"/>
          <w:marBottom w:val="0"/>
          <w:divBdr>
            <w:top w:val="none" w:sz="0" w:space="0" w:color="auto"/>
            <w:left w:val="none" w:sz="0" w:space="0" w:color="auto"/>
            <w:bottom w:val="none" w:sz="0" w:space="0" w:color="auto"/>
            <w:right w:val="none" w:sz="0" w:space="0" w:color="auto"/>
          </w:divBdr>
        </w:div>
        <w:div w:id="2018190883">
          <w:marLeft w:val="274"/>
          <w:marRight w:val="0"/>
          <w:marTop w:val="0"/>
          <w:marBottom w:val="0"/>
          <w:divBdr>
            <w:top w:val="none" w:sz="0" w:space="0" w:color="auto"/>
            <w:left w:val="none" w:sz="0" w:space="0" w:color="auto"/>
            <w:bottom w:val="none" w:sz="0" w:space="0" w:color="auto"/>
            <w:right w:val="none" w:sz="0" w:space="0" w:color="auto"/>
          </w:divBdr>
        </w:div>
        <w:div w:id="2053114229">
          <w:marLeft w:val="274"/>
          <w:marRight w:val="0"/>
          <w:marTop w:val="0"/>
          <w:marBottom w:val="0"/>
          <w:divBdr>
            <w:top w:val="none" w:sz="0" w:space="0" w:color="auto"/>
            <w:left w:val="none" w:sz="0" w:space="0" w:color="auto"/>
            <w:bottom w:val="none" w:sz="0" w:space="0" w:color="auto"/>
            <w:right w:val="none" w:sz="0" w:space="0" w:color="auto"/>
          </w:divBdr>
        </w:div>
      </w:divsChild>
    </w:div>
    <w:div w:id="1440643209">
      <w:bodyDiv w:val="1"/>
      <w:marLeft w:val="0"/>
      <w:marRight w:val="0"/>
      <w:marTop w:val="0"/>
      <w:marBottom w:val="0"/>
      <w:divBdr>
        <w:top w:val="none" w:sz="0" w:space="0" w:color="auto"/>
        <w:left w:val="none" w:sz="0" w:space="0" w:color="auto"/>
        <w:bottom w:val="none" w:sz="0" w:space="0" w:color="auto"/>
        <w:right w:val="none" w:sz="0" w:space="0" w:color="auto"/>
      </w:divBdr>
      <w:divsChild>
        <w:div w:id="2519863">
          <w:marLeft w:val="274"/>
          <w:marRight w:val="86"/>
          <w:marTop w:val="0"/>
          <w:marBottom w:val="0"/>
          <w:divBdr>
            <w:top w:val="none" w:sz="0" w:space="0" w:color="auto"/>
            <w:left w:val="none" w:sz="0" w:space="0" w:color="auto"/>
            <w:bottom w:val="none" w:sz="0" w:space="0" w:color="auto"/>
            <w:right w:val="none" w:sz="0" w:space="0" w:color="auto"/>
          </w:divBdr>
        </w:div>
        <w:div w:id="29378269">
          <w:marLeft w:val="360"/>
          <w:marRight w:val="288"/>
          <w:marTop w:val="0"/>
          <w:marBottom w:val="0"/>
          <w:divBdr>
            <w:top w:val="none" w:sz="0" w:space="0" w:color="auto"/>
            <w:left w:val="none" w:sz="0" w:space="0" w:color="auto"/>
            <w:bottom w:val="none" w:sz="0" w:space="0" w:color="auto"/>
            <w:right w:val="none" w:sz="0" w:space="0" w:color="auto"/>
          </w:divBdr>
        </w:div>
        <w:div w:id="51387704">
          <w:marLeft w:val="274"/>
          <w:marRight w:val="86"/>
          <w:marTop w:val="0"/>
          <w:marBottom w:val="0"/>
          <w:divBdr>
            <w:top w:val="none" w:sz="0" w:space="0" w:color="auto"/>
            <w:left w:val="none" w:sz="0" w:space="0" w:color="auto"/>
            <w:bottom w:val="none" w:sz="0" w:space="0" w:color="auto"/>
            <w:right w:val="none" w:sz="0" w:space="0" w:color="auto"/>
          </w:divBdr>
        </w:div>
        <w:div w:id="65346416">
          <w:marLeft w:val="274"/>
          <w:marRight w:val="86"/>
          <w:marTop w:val="0"/>
          <w:marBottom w:val="0"/>
          <w:divBdr>
            <w:top w:val="none" w:sz="0" w:space="0" w:color="auto"/>
            <w:left w:val="none" w:sz="0" w:space="0" w:color="auto"/>
            <w:bottom w:val="none" w:sz="0" w:space="0" w:color="auto"/>
            <w:right w:val="none" w:sz="0" w:space="0" w:color="auto"/>
          </w:divBdr>
        </w:div>
        <w:div w:id="99036652">
          <w:marLeft w:val="274"/>
          <w:marRight w:val="86"/>
          <w:marTop w:val="0"/>
          <w:marBottom w:val="0"/>
          <w:divBdr>
            <w:top w:val="none" w:sz="0" w:space="0" w:color="auto"/>
            <w:left w:val="none" w:sz="0" w:space="0" w:color="auto"/>
            <w:bottom w:val="none" w:sz="0" w:space="0" w:color="auto"/>
            <w:right w:val="none" w:sz="0" w:space="0" w:color="auto"/>
          </w:divBdr>
        </w:div>
        <w:div w:id="158468708">
          <w:marLeft w:val="360"/>
          <w:marRight w:val="288"/>
          <w:marTop w:val="0"/>
          <w:marBottom w:val="0"/>
          <w:divBdr>
            <w:top w:val="none" w:sz="0" w:space="0" w:color="auto"/>
            <w:left w:val="none" w:sz="0" w:space="0" w:color="auto"/>
            <w:bottom w:val="none" w:sz="0" w:space="0" w:color="auto"/>
            <w:right w:val="none" w:sz="0" w:space="0" w:color="auto"/>
          </w:divBdr>
        </w:div>
        <w:div w:id="257256955">
          <w:marLeft w:val="274"/>
          <w:marRight w:val="86"/>
          <w:marTop w:val="0"/>
          <w:marBottom w:val="0"/>
          <w:divBdr>
            <w:top w:val="none" w:sz="0" w:space="0" w:color="auto"/>
            <w:left w:val="none" w:sz="0" w:space="0" w:color="auto"/>
            <w:bottom w:val="none" w:sz="0" w:space="0" w:color="auto"/>
            <w:right w:val="none" w:sz="0" w:space="0" w:color="auto"/>
          </w:divBdr>
        </w:div>
        <w:div w:id="277227425">
          <w:marLeft w:val="274"/>
          <w:marRight w:val="86"/>
          <w:marTop w:val="0"/>
          <w:marBottom w:val="0"/>
          <w:divBdr>
            <w:top w:val="none" w:sz="0" w:space="0" w:color="auto"/>
            <w:left w:val="none" w:sz="0" w:space="0" w:color="auto"/>
            <w:bottom w:val="none" w:sz="0" w:space="0" w:color="auto"/>
            <w:right w:val="none" w:sz="0" w:space="0" w:color="auto"/>
          </w:divBdr>
        </w:div>
        <w:div w:id="293682511">
          <w:marLeft w:val="274"/>
          <w:marRight w:val="86"/>
          <w:marTop w:val="0"/>
          <w:marBottom w:val="0"/>
          <w:divBdr>
            <w:top w:val="none" w:sz="0" w:space="0" w:color="auto"/>
            <w:left w:val="none" w:sz="0" w:space="0" w:color="auto"/>
            <w:bottom w:val="none" w:sz="0" w:space="0" w:color="auto"/>
            <w:right w:val="none" w:sz="0" w:space="0" w:color="auto"/>
          </w:divBdr>
        </w:div>
        <w:div w:id="299960850">
          <w:marLeft w:val="274"/>
          <w:marRight w:val="86"/>
          <w:marTop w:val="0"/>
          <w:marBottom w:val="0"/>
          <w:divBdr>
            <w:top w:val="none" w:sz="0" w:space="0" w:color="auto"/>
            <w:left w:val="none" w:sz="0" w:space="0" w:color="auto"/>
            <w:bottom w:val="none" w:sz="0" w:space="0" w:color="auto"/>
            <w:right w:val="none" w:sz="0" w:space="0" w:color="auto"/>
          </w:divBdr>
        </w:div>
        <w:div w:id="320428148">
          <w:marLeft w:val="360"/>
          <w:marRight w:val="288"/>
          <w:marTop w:val="0"/>
          <w:marBottom w:val="0"/>
          <w:divBdr>
            <w:top w:val="none" w:sz="0" w:space="0" w:color="auto"/>
            <w:left w:val="none" w:sz="0" w:space="0" w:color="auto"/>
            <w:bottom w:val="none" w:sz="0" w:space="0" w:color="auto"/>
            <w:right w:val="none" w:sz="0" w:space="0" w:color="auto"/>
          </w:divBdr>
        </w:div>
        <w:div w:id="331832737">
          <w:marLeft w:val="274"/>
          <w:marRight w:val="86"/>
          <w:marTop w:val="0"/>
          <w:marBottom w:val="0"/>
          <w:divBdr>
            <w:top w:val="none" w:sz="0" w:space="0" w:color="auto"/>
            <w:left w:val="none" w:sz="0" w:space="0" w:color="auto"/>
            <w:bottom w:val="none" w:sz="0" w:space="0" w:color="auto"/>
            <w:right w:val="none" w:sz="0" w:space="0" w:color="auto"/>
          </w:divBdr>
        </w:div>
        <w:div w:id="364672845">
          <w:marLeft w:val="274"/>
          <w:marRight w:val="86"/>
          <w:marTop w:val="0"/>
          <w:marBottom w:val="0"/>
          <w:divBdr>
            <w:top w:val="none" w:sz="0" w:space="0" w:color="auto"/>
            <w:left w:val="none" w:sz="0" w:space="0" w:color="auto"/>
            <w:bottom w:val="none" w:sz="0" w:space="0" w:color="auto"/>
            <w:right w:val="none" w:sz="0" w:space="0" w:color="auto"/>
          </w:divBdr>
        </w:div>
        <w:div w:id="369960713">
          <w:marLeft w:val="274"/>
          <w:marRight w:val="86"/>
          <w:marTop w:val="0"/>
          <w:marBottom w:val="0"/>
          <w:divBdr>
            <w:top w:val="none" w:sz="0" w:space="0" w:color="auto"/>
            <w:left w:val="none" w:sz="0" w:space="0" w:color="auto"/>
            <w:bottom w:val="none" w:sz="0" w:space="0" w:color="auto"/>
            <w:right w:val="none" w:sz="0" w:space="0" w:color="auto"/>
          </w:divBdr>
        </w:div>
        <w:div w:id="385447249">
          <w:marLeft w:val="274"/>
          <w:marRight w:val="86"/>
          <w:marTop w:val="0"/>
          <w:marBottom w:val="0"/>
          <w:divBdr>
            <w:top w:val="none" w:sz="0" w:space="0" w:color="auto"/>
            <w:left w:val="none" w:sz="0" w:space="0" w:color="auto"/>
            <w:bottom w:val="none" w:sz="0" w:space="0" w:color="auto"/>
            <w:right w:val="none" w:sz="0" w:space="0" w:color="auto"/>
          </w:divBdr>
        </w:div>
        <w:div w:id="434515922">
          <w:marLeft w:val="274"/>
          <w:marRight w:val="86"/>
          <w:marTop w:val="0"/>
          <w:marBottom w:val="0"/>
          <w:divBdr>
            <w:top w:val="none" w:sz="0" w:space="0" w:color="auto"/>
            <w:left w:val="none" w:sz="0" w:space="0" w:color="auto"/>
            <w:bottom w:val="none" w:sz="0" w:space="0" w:color="auto"/>
            <w:right w:val="none" w:sz="0" w:space="0" w:color="auto"/>
          </w:divBdr>
        </w:div>
        <w:div w:id="460344666">
          <w:marLeft w:val="274"/>
          <w:marRight w:val="0"/>
          <w:marTop w:val="0"/>
          <w:marBottom w:val="0"/>
          <w:divBdr>
            <w:top w:val="none" w:sz="0" w:space="0" w:color="auto"/>
            <w:left w:val="none" w:sz="0" w:space="0" w:color="auto"/>
            <w:bottom w:val="none" w:sz="0" w:space="0" w:color="auto"/>
            <w:right w:val="none" w:sz="0" w:space="0" w:color="auto"/>
          </w:divBdr>
        </w:div>
        <w:div w:id="472719585">
          <w:marLeft w:val="274"/>
          <w:marRight w:val="86"/>
          <w:marTop w:val="0"/>
          <w:marBottom w:val="0"/>
          <w:divBdr>
            <w:top w:val="none" w:sz="0" w:space="0" w:color="auto"/>
            <w:left w:val="none" w:sz="0" w:space="0" w:color="auto"/>
            <w:bottom w:val="none" w:sz="0" w:space="0" w:color="auto"/>
            <w:right w:val="none" w:sz="0" w:space="0" w:color="auto"/>
          </w:divBdr>
        </w:div>
        <w:div w:id="482284829">
          <w:marLeft w:val="274"/>
          <w:marRight w:val="86"/>
          <w:marTop w:val="0"/>
          <w:marBottom w:val="0"/>
          <w:divBdr>
            <w:top w:val="none" w:sz="0" w:space="0" w:color="auto"/>
            <w:left w:val="none" w:sz="0" w:space="0" w:color="auto"/>
            <w:bottom w:val="none" w:sz="0" w:space="0" w:color="auto"/>
            <w:right w:val="none" w:sz="0" w:space="0" w:color="auto"/>
          </w:divBdr>
        </w:div>
        <w:div w:id="484471675">
          <w:marLeft w:val="274"/>
          <w:marRight w:val="86"/>
          <w:marTop w:val="0"/>
          <w:marBottom w:val="0"/>
          <w:divBdr>
            <w:top w:val="none" w:sz="0" w:space="0" w:color="auto"/>
            <w:left w:val="none" w:sz="0" w:space="0" w:color="auto"/>
            <w:bottom w:val="none" w:sz="0" w:space="0" w:color="auto"/>
            <w:right w:val="none" w:sz="0" w:space="0" w:color="auto"/>
          </w:divBdr>
        </w:div>
        <w:div w:id="553473116">
          <w:marLeft w:val="274"/>
          <w:marRight w:val="86"/>
          <w:marTop w:val="0"/>
          <w:marBottom w:val="0"/>
          <w:divBdr>
            <w:top w:val="none" w:sz="0" w:space="0" w:color="auto"/>
            <w:left w:val="none" w:sz="0" w:space="0" w:color="auto"/>
            <w:bottom w:val="none" w:sz="0" w:space="0" w:color="auto"/>
            <w:right w:val="none" w:sz="0" w:space="0" w:color="auto"/>
          </w:divBdr>
        </w:div>
        <w:div w:id="554774620">
          <w:marLeft w:val="274"/>
          <w:marRight w:val="0"/>
          <w:marTop w:val="0"/>
          <w:marBottom w:val="0"/>
          <w:divBdr>
            <w:top w:val="none" w:sz="0" w:space="0" w:color="auto"/>
            <w:left w:val="none" w:sz="0" w:space="0" w:color="auto"/>
            <w:bottom w:val="none" w:sz="0" w:space="0" w:color="auto"/>
            <w:right w:val="none" w:sz="0" w:space="0" w:color="auto"/>
          </w:divBdr>
        </w:div>
        <w:div w:id="564996487">
          <w:marLeft w:val="360"/>
          <w:marRight w:val="288"/>
          <w:marTop w:val="0"/>
          <w:marBottom w:val="0"/>
          <w:divBdr>
            <w:top w:val="none" w:sz="0" w:space="0" w:color="auto"/>
            <w:left w:val="none" w:sz="0" w:space="0" w:color="auto"/>
            <w:bottom w:val="none" w:sz="0" w:space="0" w:color="auto"/>
            <w:right w:val="none" w:sz="0" w:space="0" w:color="auto"/>
          </w:divBdr>
        </w:div>
        <w:div w:id="594749101">
          <w:marLeft w:val="274"/>
          <w:marRight w:val="86"/>
          <w:marTop w:val="0"/>
          <w:marBottom w:val="0"/>
          <w:divBdr>
            <w:top w:val="none" w:sz="0" w:space="0" w:color="auto"/>
            <w:left w:val="none" w:sz="0" w:space="0" w:color="auto"/>
            <w:bottom w:val="none" w:sz="0" w:space="0" w:color="auto"/>
            <w:right w:val="none" w:sz="0" w:space="0" w:color="auto"/>
          </w:divBdr>
        </w:div>
        <w:div w:id="635766563">
          <w:marLeft w:val="274"/>
          <w:marRight w:val="86"/>
          <w:marTop w:val="0"/>
          <w:marBottom w:val="0"/>
          <w:divBdr>
            <w:top w:val="none" w:sz="0" w:space="0" w:color="auto"/>
            <w:left w:val="none" w:sz="0" w:space="0" w:color="auto"/>
            <w:bottom w:val="none" w:sz="0" w:space="0" w:color="auto"/>
            <w:right w:val="none" w:sz="0" w:space="0" w:color="auto"/>
          </w:divBdr>
        </w:div>
        <w:div w:id="660549179">
          <w:marLeft w:val="274"/>
          <w:marRight w:val="0"/>
          <w:marTop w:val="0"/>
          <w:marBottom w:val="0"/>
          <w:divBdr>
            <w:top w:val="none" w:sz="0" w:space="0" w:color="auto"/>
            <w:left w:val="none" w:sz="0" w:space="0" w:color="auto"/>
            <w:bottom w:val="none" w:sz="0" w:space="0" w:color="auto"/>
            <w:right w:val="none" w:sz="0" w:space="0" w:color="auto"/>
          </w:divBdr>
        </w:div>
        <w:div w:id="697972038">
          <w:marLeft w:val="274"/>
          <w:marRight w:val="86"/>
          <w:marTop w:val="0"/>
          <w:marBottom w:val="0"/>
          <w:divBdr>
            <w:top w:val="none" w:sz="0" w:space="0" w:color="auto"/>
            <w:left w:val="none" w:sz="0" w:space="0" w:color="auto"/>
            <w:bottom w:val="none" w:sz="0" w:space="0" w:color="auto"/>
            <w:right w:val="none" w:sz="0" w:space="0" w:color="auto"/>
          </w:divBdr>
        </w:div>
        <w:div w:id="699553482">
          <w:marLeft w:val="274"/>
          <w:marRight w:val="86"/>
          <w:marTop w:val="0"/>
          <w:marBottom w:val="0"/>
          <w:divBdr>
            <w:top w:val="none" w:sz="0" w:space="0" w:color="auto"/>
            <w:left w:val="none" w:sz="0" w:space="0" w:color="auto"/>
            <w:bottom w:val="none" w:sz="0" w:space="0" w:color="auto"/>
            <w:right w:val="none" w:sz="0" w:space="0" w:color="auto"/>
          </w:divBdr>
        </w:div>
        <w:div w:id="750735311">
          <w:marLeft w:val="274"/>
          <w:marRight w:val="86"/>
          <w:marTop w:val="0"/>
          <w:marBottom w:val="0"/>
          <w:divBdr>
            <w:top w:val="none" w:sz="0" w:space="0" w:color="auto"/>
            <w:left w:val="none" w:sz="0" w:space="0" w:color="auto"/>
            <w:bottom w:val="none" w:sz="0" w:space="0" w:color="auto"/>
            <w:right w:val="none" w:sz="0" w:space="0" w:color="auto"/>
          </w:divBdr>
        </w:div>
        <w:div w:id="777601939">
          <w:marLeft w:val="274"/>
          <w:marRight w:val="86"/>
          <w:marTop w:val="0"/>
          <w:marBottom w:val="0"/>
          <w:divBdr>
            <w:top w:val="none" w:sz="0" w:space="0" w:color="auto"/>
            <w:left w:val="none" w:sz="0" w:space="0" w:color="auto"/>
            <w:bottom w:val="none" w:sz="0" w:space="0" w:color="auto"/>
            <w:right w:val="none" w:sz="0" w:space="0" w:color="auto"/>
          </w:divBdr>
        </w:div>
        <w:div w:id="788670423">
          <w:marLeft w:val="274"/>
          <w:marRight w:val="86"/>
          <w:marTop w:val="0"/>
          <w:marBottom w:val="0"/>
          <w:divBdr>
            <w:top w:val="none" w:sz="0" w:space="0" w:color="auto"/>
            <w:left w:val="none" w:sz="0" w:space="0" w:color="auto"/>
            <w:bottom w:val="none" w:sz="0" w:space="0" w:color="auto"/>
            <w:right w:val="none" w:sz="0" w:space="0" w:color="auto"/>
          </w:divBdr>
        </w:div>
        <w:div w:id="871766170">
          <w:marLeft w:val="274"/>
          <w:marRight w:val="86"/>
          <w:marTop w:val="0"/>
          <w:marBottom w:val="0"/>
          <w:divBdr>
            <w:top w:val="none" w:sz="0" w:space="0" w:color="auto"/>
            <w:left w:val="none" w:sz="0" w:space="0" w:color="auto"/>
            <w:bottom w:val="none" w:sz="0" w:space="0" w:color="auto"/>
            <w:right w:val="none" w:sz="0" w:space="0" w:color="auto"/>
          </w:divBdr>
        </w:div>
        <w:div w:id="878474898">
          <w:marLeft w:val="274"/>
          <w:marRight w:val="86"/>
          <w:marTop w:val="0"/>
          <w:marBottom w:val="0"/>
          <w:divBdr>
            <w:top w:val="none" w:sz="0" w:space="0" w:color="auto"/>
            <w:left w:val="none" w:sz="0" w:space="0" w:color="auto"/>
            <w:bottom w:val="none" w:sz="0" w:space="0" w:color="auto"/>
            <w:right w:val="none" w:sz="0" w:space="0" w:color="auto"/>
          </w:divBdr>
        </w:div>
        <w:div w:id="878972430">
          <w:marLeft w:val="274"/>
          <w:marRight w:val="86"/>
          <w:marTop w:val="0"/>
          <w:marBottom w:val="0"/>
          <w:divBdr>
            <w:top w:val="none" w:sz="0" w:space="0" w:color="auto"/>
            <w:left w:val="none" w:sz="0" w:space="0" w:color="auto"/>
            <w:bottom w:val="none" w:sz="0" w:space="0" w:color="auto"/>
            <w:right w:val="none" w:sz="0" w:space="0" w:color="auto"/>
          </w:divBdr>
        </w:div>
        <w:div w:id="923953278">
          <w:marLeft w:val="274"/>
          <w:marRight w:val="86"/>
          <w:marTop w:val="0"/>
          <w:marBottom w:val="0"/>
          <w:divBdr>
            <w:top w:val="none" w:sz="0" w:space="0" w:color="auto"/>
            <w:left w:val="none" w:sz="0" w:space="0" w:color="auto"/>
            <w:bottom w:val="none" w:sz="0" w:space="0" w:color="auto"/>
            <w:right w:val="none" w:sz="0" w:space="0" w:color="auto"/>
          </w:divBdr>
        </w:div>
        <w:div w:id="929855619">
          <w:marLeft w:val="360"/>
          <w:marRight w:val="288"/>
          <w:marTop w:val="0"/>
          <w:marBottom w:val="0"/>
          <w:divBdr>
            <w:top w:val="none" w:sz="0" w:space="0" w:color="auto"/>
            <w:left w:val="none" w:sz="0" w:space="0" w:color="auto"/>
            <w:bottom w:val="none" w:sz="0" w:space="0" w:color="auto"/>
            <w:right w:val="none" w:sz="0" w:space="0" w:color="auto"/>
          </w:divBdr>
        </w:div>
        <w:div w:id="933711321">
          <w:marLeft w:val="274"/>
          <w:marRight w:val="86"/>
          <w:marTop w:val="0"/>
          <w:marBottom w:val="0"/>
          <w:divBdr>
            <w:top w:val="none" w:sz="0" w:space="0" w:color="auto"/>
            <w:left w:val="none" w:sz="0" w:space="0" w:color="auto"/>
            <w:bottom w:val="none" w:sz="0" w:space="0" w:color="auto"/>
            <w:right w:val="none" w:sz="0" w:space="0" w:color="auto"/>
          </w:divBdr>
        </w:div>
        <w:div w:id="978535993">
          <w:marLeft w:val="274"/>
          <w:marRight w:val="86"/>
          <w:marTop w:val="0"/>
          <w:marBottom w:val="0"/>
          <w:divBdr>
            <w:top w:val="none" w:sz="0" w:space="0" w:color="auto"/>
            <w:left w:val="none" w:sz="0" w:space="0" w:color="auto"/>
            <w:bottom w:val="none" w:sz="0" w:space="0" w:color="auto"/>
            <w:right w:val="none" w:sz="0" w:space="0" w:color="auto"/>
          </w:divBdr>
        </w:div>
        <w:div w:id="1020280374">
          <w:marLeft w:val="274"/>
          <w:marRight w:val="86"/>
          <w:marTop w:val="0"/>
          <w:marBottom w:val="0"/>
          <w:divBdr>
            <w:top w:val="none" w:sz="0" w:space="0" w:color="auto"/>
            <w:left w:val="none" w:sz="0" w:space="0" w:color="auto"/>
            <w:bottom w:val="none" w:sz="0" w:space="0" w:color="auto"/>
            <w:right w:val="none" w:sz="0" w:space="0" w:color="auto"/>
          </w:divBdr>
        </w:div>
        <w:div w:id="1066298955">
          <w:marLeft w:val="274"/>
          <w:marRight w:val="86"/>
          <w:marTop w:val="0"/>
          <w:marBottom w:val="0"/>
          <w:divBdr>
            <w:top w:val="none" w:sz="0" w:space="0" w:color="auto"/>
            <w:left w:val="none" w:sz="0" w:space="0" w:color="auto"/>
            <w:bottom w:val="none" w:sz="0" w:space="0" w:color="auto"/>
            <w:right w:val="none" w:sz="0" w:space="0" w:color="auto"/>
          </w:divBdr>
        </w:div>
        <w:div w:id="1067530453">
          <w:marLeft w:val="360"/>
          <w:marRight w:val="288"/>
          <w:marTop w:val="0"/>
          <w:marBottom w:val="0"/>
          <w:divBdr>
            <w:top w:val="none" w:sz="0" w:space="0" w:color="auto"/>
            <w:left w:val="none" w:sz="0" w:space="0" w:color="auto"/>
            <w:bottom w:val="none" w:sz="0" w:space="0" w:color="auto"/>
            <w:right w:val="none" w:sz="0" w:space="0" w:color="auto"/>
          </w:divBdr>
        </w:div>
        <w:div w:id="1080716201">
          <w:marLeft w:val="274"/>
          <w:marRight w:val="86"/>
          <w:marTop w:val="0"/>
          <w:marBottom w:val="0"/>
          <w:divBdr>
            <w:top w:val="none" w:sz="0" w:space="0" w:color="auto"/>
            <w:left w:val="none" w:sz="0" w:space="0" w:color="auto"/>
            <w:bottom w:val="none" w:sz="0" w:space="0" w:color="auto"/>
            <w:right w:val="none" w:sz="0" w:space="0" w:color="auto"/>
          </w:divBdr>
        </w:div>
        <w:div w:id="1081566895">
          <w:marLeft w:val="274"/>
          <w:marRight w:val="86"/>
          <w:marTop w:val="0"/>
          <w:marBottom w:val="0"/>
          <w:divBdr>
            <w:top w:val="none" w:sz="0" w:space="0" w:color="auto"/>
            <w:left w:val="none" w:sz="0" w:space="0" w:color="auto"/>
            <w:bottom w:val="none" w:sz="0" w:space="0" w:color="auto"/>
            <w:right w:val="none" w:sz="0" w:space="0" w:color="auto"/>
          </w:divBdr>
        </w:div>
        <w:div w:id="1096512088">
          <w:marLeft w:val="274"/>
          <w:marRight w:val="86"/>
          <w:marTop w:val="0"/>
          <w:marBottom w:val="0"/>
          <w:divBdr>
            <w:top w:val="none" w:sz="0" w:space="0" w:color="auto"/>
            <w:left w:val="none" w:sz="0" w:space="0" w:color="auto"/>
            <w:bottom w:val="none" w:sz="0" w:space="0" w:color="auto"/>
            <w:right w:val="none" w:sz="0" w:space="0" w:color="auto"/>
          </w:divBdr>
        </w:div>
        <w:div w:id="1113479875">
          <w:marLeft w:val="360"/>
          <w:marRight w:val="288"/>
          <w:marTop w:val="0"/>
          <w:marBottom w:val="0"/>
          <w:divBdr>
            <w:top w:val="none" w:sz="0" w:space="0" w:color="auto"/>
            <w:left w:val="none" w:sz="0" w:space="0" w:color="auto"/>
            <w:bottom w:val="none" w:sz="0" w:space="0" w:color="auto"/>
            <w:right w:val="none" w:sz="0" w:space="0" w:color="auto"/>
          </w:divBdr>
        </w:div>
        <w:div w:id="1145779630">
          <w:marLeft w:val="274"/>
          <w:marRight w:val="86"/>
          <w:marTop w:val="0"/>
          <w:marBottom w:val="0"/>
          <w:divBdr>
            <w:top w:val="none" w:sz="0" w:space="0" w:color="auto"/>
            <w:left w:val="none" w:sz="0" w:space="0" w:color="auto"/>
            <w:bottom w:val="none" w:sz="0" w:space="0" w:color="auto"/>
            <w:right w:val="none" w:sz="0" w:space="0" w:color="auto"/>
          </w:divBdr>
        </w:div>
        <w:div w:id="1185946872">
          <w:marLeft w:val="274"/>
          <w:marRight w:val="86"/>
          <w:marTop w:val="0"/>
          <w:marBottom w:val="0"/>
          <w:divBdr>
            <w:top w:val="none" w:sz="0" w:space="0" w:color="auto"/>
            <w:left w:val="none" w:sz="0" w:space="0" w:color="auto"/>
            <w:bottom w:val="none" w:sz="0" w:space="0" w:color="auto"/>
            <w:right w:val="none" w:sz="0" w:space="0" w:color="auto"/>
          </w:divBdr>
        </w:div>
        <w:div w:id="1202743426">
          <w:marLeft w:val="274"/>
          <w:marRight w:val="86"/>
          <w:marTop w:val="0"/>
          <w:marBottom w:val="0"/>
          <w:divBdr>
            <w:top w:val="none" w:sz="0" w:space="0" w:color="auto"/>
            <w:left w:val="none" w:sz="0" w:space="0" w:color="auto"/>
            <w:bottom w:val="none" w:sz="0" w:space="0" w:color="auto"/>
            <w:right w:val="none" w:sz="0" w:space="0" w:color="auto"/>
          </w:divBdr>
        </w:div>
        <w:div w:id="1206600764">
          <w:marLeft w:val="274"/>
          <w:marRight w:val="86"/>
          <w:marTop w:val="0"/>
          <w:marBottom w:val="0"/>
          <w:divBdr>
            <w:top w:val="none" w:sz="0" w:space="0" w:color="auto"/>
            <w:left w:val="none" w:sz="0" w:space="0" w:color="auto"/>
            <w:bottom w:val="none" w:sz="0" w:space="0" w:color="auto"/>
            <w:right w:val="none" w:sz="0" w:space="0" w:color="auto"/>
          </w:divBdr>
        </w:div>
        <w:div w:id="1234508429">
          <w:marLeft w:val="274"/>
          <w:marRight w:val="86"/>
          <w:marTop w:val="0"/>
          <w:marBottom w:val="0"/>
          <w:divBdr>
            <w:top w:val="none" w:sz="0" w:space="0" w:color="auto"/>
            <w:left w:val="none" w:sz="0" w:space="0" w:color="auto"/>
            <w:bottom w:val="none" w:sz="0" w:space="0" w:color="auto"/>
            <w:right w:val="none" w:sz="0" w:space="0" w:color="auto"/>
          </w:divBdr>
        </w:div>
        <w:div w:id="1237744814">
          <w:marLeft w:val="360"/>
          <w:marRight w:val="288"/>
          <w:marTop w:val="0"/>
          <w:marBottom w:val="0"/>
          <w:divBdr>
            <w:top w:val="none" w:sz="0" w:space="0" w:color="auto"/>
            <w:left w:val="none" w:sz="0" w:space="0" w:color="auto"/>
            <w:bottom w:val="none" w:sz="0" w:space="0" w:color="auto"/>
            <w:right w:val="none" w:sz="0" w:space="0" w:color="auto"/>
          </w:divBdr>
        </w:div>
        <w:div w:id="1240024729">
          <w:marLeft w:val="274"/>
          <w:marRight w:val="86"/>
          <w:marTop w:val="0"/>
          <w:marBottom w:val="0"/>
          <w:divBdr>
            <w:top w:val="none" w:sz="0" w:space="0" w:color="auto"/>
            <w:left w:val="none" w:sz="0" w:space="0" w:color="auto"/>
            <w:bottom w:val="none" w:sz="0" w:space="0" w:color="auto"/>
            <w:right w:val="none" w:sz="0" w:space="0" w:color="auto"/>
          </w:divBdr>
        </w:div>
        <w:div w:id="1271620599">
          <w:marLeft w:val="274"/>
          <w:marRight w:val="86"/>
          <w:marTop w:val="0"/>
          <w:marBottom w:val="0"/>
          <w:divBdr>
            <w:top w:val="none" w:sz="0" w:space="0" w:color="auto"/>
            <w:left w:val="none" w:sz="0" w:space="0" w:color="auto"/>
            <w:bottom w:val="none" w:sz="0" w:space="0" w:color="auto"/>
            <w:right w:val="none" w:sz="0" w:space="0" w:color="auto"/>
          </w:divBdr>
        </w:div>
        <w:div w:id="1292129874">
          <w:marLeft w:val="274"/>
          <w:marRight w:val="86"/>
          <w:marTop w:val="0"/>
          <w:marBottom w:val="0"/>
          <w:divBdr>
            <w:top w:val="none" w:sz="0" w:space="0" w:color="auto"/>
            <w:left w:val="none" w:sz="0" w:space="0" w:color="auto"/>
            <w:bottom w:val="none" w:sz="0" w:space="0" w:color="auto"/>
            <w:right w:val="none" w:sz="0" w:space="0" w:color="auto"/>
          </w:divBdr>
        </w:div>
        <w:div w:id="1347906201">
          <w:marLeft w:val="274"/>
          <w:marRight w:val="86"/>
          <w:marTop w:val="0"/>
          <w:marBottom w:val="0"/>
          <w:divBdr>
            <w:top w:val="none" w:sz="0" w:space="0" w:color="auto"/>
            <w:left w:val="none" w:sz="0" w:space="0" w:color="auto"/>
            <w:bottom w:val="none" w:sz="0" w:space="0" w:color="auto"/>
            <w:right w:val="none" w:sz="0" w:space="0" w:color="auto"/>
          </w:divBdr>
        </w:div>
        <w:div w:id="1382165910">
          <w:marLeft w:val="274"/>
          <w:marRight w:val="86"/>
          <w:marTop w:val="0"/>
          <w:marBottom w:val="0"/>
          <w:divBdr>
            <w:top w:val="none" w:sz="0" w:space="0" w:color="auto"/>
            <w:left w:val="none" w:sz="0" w:space="0" w:color="auto"/>
            <w:bottom w:val="none" w:sz="0" w:space="0" w:color="auto"/>
            <w:right w:val="none" w:sz="0" w:space="0" w:color="auto"/>
          </w:divBdr>
        </w:div>
        <w:div w:id="1404641293">
          <w:marLeft w:val="274"/>
          <w:marRight w:val="86"/>
          <w:marTop w:val="0"/>
          <w:marBottom w:val="0"/>
          <w:divBdr>
            <w:top w:val="none" w:sz="0" w:space="0" w:color="auto"/>
            <w:left w:val="none" w:sz="0" w:space="0" w:color="auto"/>
            <w:bottom w:val="none" w:sz="0" w:space="0" w:color="auto"/>
            <w:right w:val="none" w:sz="0" w:space="0" w:color="auto"/>
          </w:divBdr>
        </w:div>
        <w:div w:id="1444956714">
          <w:marLeft w:val="274"/>
          <w:marRight w:val="86"/>
          <w:marTop w:val="0"/>
          <w:marBottom w:val="0"/>
          <w:divBdr>
            <w:top w:val="none" w:sz="0" w:space="0" w:color="auto"/>
            <w:left w:val="none" w:sz="0" w:space="0" w:color="auto"/>
            <w:bottom w:val="none" w:sz="0" w:space="0" w:color="auto"/>
            <w:right w:val="none" w:sz="0" w:space="0" w:color="auto"/>
          </w:divBdr>
        </w:div>
        <w:div w:id="1445424710">
          <w:marLeft w:val="274"/>
          <w:marRight w:val="86"/>
          <w:marTop w:val="0"/>
          <w:marBottom w:val="0"/>
          <w:divBdr>
            <w:top w:val="none" w:sz="0" w:space="0" w:color="auto"/>
            <w:left w:val="none" w:sz="0" w:space="0" w:color="auto"/>
            <w:bottom w:val="none" w:sz="0" w:space="0" w:color="auto"/>
            <w:right w:val="none" w:sz="0" w:space="0" w:color="auto"/>
          </w:divBdr>
        </w:div>
        <w:div w:id="1446773410">
          <w:marLeft w:val="274"/>
          <w:marRight w:val="86"/>
          <w:marTop w:val="0"/>
          <w:marBottom w:val="0"/>
          <w:divBdr>
            <w:top w:val="none" w:sz="0" w:space="0" w:color="auto"/>
            <w:left w:val="none" w:sz="0" w:space="0" w:color="auto"/>
            <w:bottom w:val="none" w:sz="0" w:space="0" w:color="auto"/>
            <w:right w:val="none" w:sz="0" w:space="0" w:color="auto"/>
          </w:divBdr>
        </w:div>
        <w:div w:id="1457405633">
          <w:marLeft w:val="274"/>
          <w:marRight w:val="86"/>
          <w:marTop w:val="0"/>
          <w:marBottom w:val="0"/>
          <w:divBdr>
            <w:top w:val="none" w:sz="0" w:space="0" w:color="auto"/>
            <w:left w:val="none" w:sz="0" w:space="0" w:color="auto"/>
            <w:bottom w:val="none" w:sz="0" w:space="0" w:color="auto"/>
            <w:right w:val="none" w:sz="0" w:space="0" w:color="auto"/>
          </w:divBdr>
        </w:div>
        <w:div w:id="1459683645">
          <w:marLeft w:val="274"/>
          <w:marRight w:val="86"/>
          <w:marTop w:val="0"/>
          <w:marBottom w:val="0"/>
          <w:divBdr>
            <w:top w:val="none" w:sz="0" w:space="0" w:color="auto"/>
            <w:left w:val="none" w:sz="0" w:space="0" w:color="auto"/>
            <w:bottom w:val="none" w:sz="0" w:space="0" w:color="auto"/>
            <w:right w:val="none" w:sz="0" w:space="0" w:color="auto"/>
          </w:divBdr>
        </w:div>
        <w:div w:id="1500845975">
          <w:marLeft w:val="274"/>
          <w:marRight w:val="86"/>
          <w:marTop w:val="0"/>
          <w:marBottom w:val="0"/>
          <w:divBdr>
            <w:top w:val="none" w:sz="0" w:space="0" w:color="auto"/>
            <w:left w:val="none" w:sz="0" w:space="0" w:color="auto"/>
            <w:bottom w:val="none" w:sz="0" w:space="0" w:color="auto"/>
            <w:right w:val="none" w:sz="0" w:space="0" w:color="auto"/>
          </w:divBdr>
        </w:div>
        <w:div w:id="1528131666">
          <w:marLeft w:val="274"/>
          <w:marRight w:val="86"/>
          <w:marTop w:val="0"/>
          <w:marBottom w:val="0"/>
          <w:divBdr>
            <w:top w:val="none" w:sz="0" w:space="0" w:color="auto"/>
            <w:left w:val="none" w:sz="0" w:space="0" w:color="auto"/>
            <w:bottom w:val="none" w:sz="0" w:space="0" w:color="auto"/>
            <w:right w:val="none" w:sz="0" w:space="0" w:color="auto"/>
          </w:divBdr>
        </w:div>
        <w:div w:id="1554385959">
          <w:marLeft w:val="274"/>
          <w:marRight w:val="86"/>
          <w:marTop w:val="0"/>
          <w:marBottom w:val="0"/>
          <w:divBdr>
            <w:top w:val="none" w:sz="0" w:space="0" w:color="auto"/>
            <w:left w:val="none" w:sz="0" w:space="0" w:color="auto"/>
            <w:bottom w:val="none" w:sz="0" w:space="0" w:color="auto"/>
            <w:right w:val="none" w:sz="0" w:space="0" w:color="auto"/>
          </w:divBdr>
        </w:div>
        <w:div w:id="1557818027">
          <w:marLeft w:val="274"/>
          <w:marRight w:val="86"/>
          <w:marTop w:val="0"/>
          <w:marBottom w:val="0"/>
          <w:divBdr>
            <w:top w:val="none" w:sz="0" w:space="0" w:color="auto"/>
            <w:left w:val="none" w:sz="0" w:space="0" w:color="auto"/>
            <w:bottom w:val="none" w:sz="0" w:space="0" w:color="auto"/>
            <w:right w:val="none" w:sz="0" w:space="0" w:color="auto"/>
          </w:divBdr>
        </w:div>
        <w:div w:id="1558201520">
          <w:marLeft w:val="274"/>
          <w:marRight w:val="86"/>
          <w:marTop w:val="0"/>
          <w:marBottom w:val="0"/>
          <w:divBdr>
            <w:top w:val="none" w:sz="0" w:space="0" w:color="auto"/>
            <w:left w:val="none" w:sz="0" w:space="0" w:color="auto"/>
            <w:bottom w:val="none" w:sz="0" w:space="0" w:color="auto"/>
            <w:right w:val="none" w:sz="0" w:space="0" w:color="auto"/>
          </w:divBdr>
        </w:div>
        <w:div w:id="1559438106">
          <w:marLeft w:val="274"/>
          <w:marRight w:val="86"/>
          <w:marTop w:val="0"/>
          <w:marBottom w:val="0"/>
          <w:divBdr>
            <w:top w:val="none" w:sz="0" w:space="0" w:color="auto"/>
            <w:left w:val="none" w:sz="0" w:space="0" w:color="auto"/>
            <w:bottom w:val="none" w:sz="0" w:space="0" w:color="auto"/>
            <w:right w:val="none" w:sz="0" w:space="0" w:color="auto"/>
          </w:divBdr>
        </w:div>
        <w:div w:id="1599286697">
          <w:marLeft w:val="360"/>
          <w:marRight w:val="288"/>
          <w:marTop w:val="0"/>
          <w:marBottom w:val="0"/>
          <w:divBdr>
            <w:top w:val="none" w:sz="0" w:space="0" w:color="auto"/>
            <w:left w:val="none" w:sz="0" w:space="0" w:color="auto"/>
            <w:bottom w:val="none" w:sz="0" w:space="0" w:color="auto"/>
            <w:right w:val="none" w:sz="0" w:space="0" w:color="auto"/>
          </w:divBdr>
        </w:div>
        <w:div w:id="1609577873">
          <w:marLeft w:val="274"/>
          <w:marRight w:val="86"/>
          <w:marTop w:val="0"/>
          <w:marBottom w:val="0"/>
          <w:divBdr>
            <w:top w:val="none" w:sz="0" w:space="0" w:color="auto"/>
            <w:left w:val="none" w:sz="0" w:space="0" w:color="auto"/>
            <w:bottom w:val="none" w:sz="0" w:space="0" w:color="auto"/>
            <w:right w:val="none" w:sz="0" w:space="0" w:color="auto"/>
          </w:divBdr>
        </w:div>
        <w:div w:id="1630284996">
          <w:marLeft w:val="360"/>
          <w:marRight w:val="288"/>
          <w:marTop w:val="0"/>
          <w:marBottom w:val="0"/>
          <w:divBdr>
            <w:top w:val="none" w:sz="0" w:space="0" w:color="auto"/>
            <w:left w:val="none" w:sz="0" w:space="0" w:color="auto"/>
            <w:bottom w:val="none" w:sz="0" w:space="0" w:color="auto"/>
            <w:right w:val="none" w:sz="0" w:space="0" w:color="auto"/>
          </w:divBdr>
        </w:div>
        <w:div w:id="1637491773">
          <w:marLeft w:val="274"/>
          <w:marRight w:val="86"/>
          <w:marTop w:val="0"/>
          <w:marBottom w:val="0"/>
          <w:divBdr>
            <w:top w:val="none" w:sz="0" w:space="0" w:color="auto"/>
            <w:left w:val="none" w:sz="0" w:space="0" w:color="auto"/>
            <w:bottom w:val="none" w:sz="0" w:space="0" w:color="auto"/>
            <w:right w:val="none" w:sz="0" w:space="0" w:color="auto"/>
          </w:divBdr>
        </w:div>
        <w:div w:id="1638602716">
          <w:marLeft w:val="274"/>
          <w:marRight w:val="86"/>
          <w:marTop w:val="0"/>
          <w:marBottom w:val="0"/>
          <w:divBdr>
            <w:top w:val="none" w:sz="0" w:space="0" w:color="auto"/>
            <w:left w:val="none" w:sz="0" w:space="0" w:color="auto"/>
            <w:bottom w:val="none" w:sz="0" w:space="0" w:color="auto"/>
            <w:right w:val="none" w:sz="0" w:space="0" w:color="auto"/>
          </w:divBdr>
        </w:div>
        <w:div w:id="1640067998">
          <w:marLeft w:val="274"/>
          <w:marRight w:val="86"/>
          <w:marTop w:val="0"/>
          <w:marBottom w:val="0"/>
          <w:divBdr>
            <w:top w:val="none" w:sz="0" w:space="0" w:color="auto"/>
            <w:left w:val="none" w:sz="0" w:space="0" w:color="auto"/>
            <w:bottom w:val="none" w:sz="0" w:space="0" w:color="auto"/>
            <w:right w:val="none" w:sz="0" w:space="0" w:color="auto"/>
          </w:divBdr>
        </w:div>
        <w:div w:id="1685354315">
          <w:marLeft w:val="274"/>
          <w:marRight w:val="86"/>
          <w:marTop w:val="0"/>
          <w:marBottom w:val="0"/>
          <w:divBdr>
            <w:top w:val="none" w:sz="0" w:space="0" w:color="auto"/>
            <w:left w:val="none" w:sz="0" w:space="0" w:color="auto"/>
            <w:bottom w:val="none" w:sz="0" w:space="0" w:color="auto"/>
            <w:right w:val="none" w:sz="0" w:space="0" w:color="auto"/>
          </w:divBdr>
        </w:div>
        <w:div w:id="1724717573">
          <w:marLeft w:val="274"/>
          <w:marRight w:val="86"/>
          <w:marTop w:val="0"/>
          <w:marBottom w:val="0"/>
          <w:divBdr>
            <w:top w:val="none" w:sz="0" w:space="0" w:color="auto"/>
            <w:left w:val="none" w:sz="0" w:space="0" w:color="auto"/>
            <w:bottom w:val="none" w:sz="0" w:space="0" w:color="auto"/>
            <w:right w:val="none" w:sz="0" w:space="0" w:color="auto"/>
          </w:divBdr>
        </w:div>
        <w:div w:id="1726638261">
          <w:marLeft w:val="274"/>
          <w:marRight w:val="86"/>
          <w:marTop w:val="0"/>
          <w:marBottom w:val="0"/>
          <w:divBdr>
            <w:top w:val="none" w:sz="0" w:space="0" w:color="auto"/>
            <w:left w:val="none" w:sz="0" w:space="0" w:color="auto"/>
            <w:bottom w:val="none" w:sz="0" w:space="0" w:color="auto"/>
            <w:right w:val="none" w:sz="0" w:space="0" w:color="auto"/>
          </w:divBdr>
        </w:div>
        <w:div w:id="1737240265">
          <w:marLeft w:val="360"/>
          <w:marRight w:val="288"/>
          <w:marTop w:val="0"/>
          <w:marBottom w:val="0"/>
          <w:divBdr>
            <w:top w:val="none" w:sz="0" w:space="0" w:color="auto"/>
            <w:left w:val="none" w:sz="0" w:space="0" w:color="auto"/>
            <w:bottom w:val="none" w:sz="0" w:space="0" w:color="auto"/>
            <w:right w:val="none" w:sz="0" w:space="0" w:color="auto"/>
          </w:divBdr>
        </w:div>
        <w:div w:id="1779982681">
          <w:marLeft w:val="274"/>
          <w:marRight w:val="86"/>
          <w:marTop w:val="0"/>
          <w:marBottom w:val="0"/>
          <w:divBdr>
            <w:top w:val="none" w:sz="0" w:space="0" w:color="auto"/>
            <w:left w:val="none" w:sz="0" w:space="0" w:color="auto"/>
            <w:bottom w:val="none" w:sz="0" w:space="0" w:color="auto"/>
            <w:right w:val="none" w:sz="0" w:space="0" w:color="auto"/>
          </w:divBdr>
        </w:div>
        <w:div w:id="1801873347">
          <w:marLeft w:val="274"/>
          <w:marRight w:val="86"/>
          <w:marTop w:val="0"/>
          <w:marBottom w:val="0"/>
          <w:divBdr>
            <w:top w:val="none" w:sz="0" w:space="0" w:color="auto"/>
            <w:left w:val="none" w:sz="0" w:space="0" w:color="auto"/>
            <w:bottom w:val="none" w:sz="0" w:space="0" w:color="auto"/>
            <w:right w:val="none" w:sz="0" w:space="0" w:color="auto"/>
          </w:divBdr>
        </w:div>
        <w:div w:id="1809055840">
          <w:marLeft w:val="274"/>
          <w:marRight w:val="86"/>
          <w:marTop w:val="0"/>
          <w:marBottom w:val="0"/>
          <w:divBdr>
            <w:top w:val="none" w:sz="0" w:space="0" w:color="auto"/>
            <w:left w:val="none" w:sz="0" w:space="0" w:color="auto"/>
            <w:bottom w:val="none" w:sz="0" w:space="0" w:color="auto"/>
            <w:right w:val="none" w:sz="0" w:space="0" w:color="auto"/>
          </w:divBdr>
        </w:div>
        <w:div w:id="1856311271">
          <w:marLeft w:val="274"/>
          <w:marRight w:val="86"/>
          <w:marTop w:val="0"/>
          <w:marBottom w:val="0"/>
          <w:divBdr>
            <w:top w:val="none" w:sz="0" w:space="0" w:color="auto"/>
            <w:left w:val="none" w:sz="0" w:space="0" w:color="auto"/>
            <w:bottom w:val="none" w:sz="0" w:space="0" w:color="auto"/>
            <w:right w:val="none" w:sz="0" w:space="0" w:color="auto"/>
          </w:divBdr>
        </w:div>
        <w:div w:id="1864898979">
          <w:marLeft w:val="274"/>
          <w:marRight w:val="86"/>
          <w:marTop w:val="0"/>
          <w:marBottom w:val="0"/>
          <w:divBdr>
            <w:top w:val="none" w:sz="0" w:space="0" w:color="auto"/>
            <w:left w:val="none" w:sz="0" w:space="0" w:color="auto"/>
            <w:bottom w:val="none" w:sz="0" w:space="0" w:color="auto"/>
            <w:right w:val="none" w:sz="0" w:space="0" w:color="auto"/>
          </w:divBdr>
        </w:div>
        <w:div w:id="1870217357">
          <w:marLeft w:val="274"/>
          <w:marRight w:val="0"/>
          <w:marTop w:val="0"/>
          <w:marBottom w:val="0"/>
          <w:divBdr>
            <w:top w:val="none" w:sz="0" w:space="0" w:color="auto"/>
            <w:left w:val="none" w:sz="0" w:space="0" w:color="auto"/>
            <w:bottom w:val="none" w:sz="0" w:space="0" w:color="auto"/>
            <w:right w:val="none" w:sz="0" w:space="0" w:color="auto"/>
          </w:divBdr>
        </w:div>
        <w:div w:id="1887788332">
          <w:marLeft w:val="274"/>
          <w:marRight w:val="86"/>
          <w:marTop w:val="0"/>
          <w:marBottom w:val="0"/>
          <w:divBdr>
            <w:top w:val="none" w:sz="0" w:space="0" w:color="auto"/>
            <w:left w:val="none" w:sz="0" w:space="0" w:color="auto"/>
            <w:bottom w:val="none" w:sz="0" w:space="0" w:color="auto"/>
            <w:right w:val="none" w:sz="0" w:space="0" w:color="auto"/>
          </w:divBdr>
        </w:div>
        <w:div w:id="1899244158">
          <w:marLeft w:val="274"/>
          <w:marRight w:val="86"/>
          <w:marTop w:val="0"/>
          <w:marBottom w:val="0"/>
          <w:divBdr>
            <w:top w:val="none" w:sz="0" w:space="0" w:color="auto"/>
            <w:left w:val="none" w:sz="0" w:space="0" w:color="auto"/>
            <w:bottom w:val="none" w:sz="0" w:space="0" w:color="auto"/>
            <w:right w:val="none" w:sz="0" w:space="0" w:color="auto"/>
          </w:divBdr>
        </w:div>
        <w:div w:id="1934699960">
          <w:marLeft w:val="360"/>
          <w:marRight w:val="288"/>
          <w:marTop w:val="0"/>
          <w:marBottom w:val="0"/>
          <w:divBdr>
            <w:top w:val="none" w:sz="0" w:space="0" w:color="auto"/>
            <w:left w:val="none" w:sz="0" w:space="0" w:color="auto"/>
            <w:bottom w:val="none" w:sz="0" w:space="0" w:color="auto"/>
            <w:right w:val="none" w:sz="0" w:space="0" w:color="auto"/>
          </w:divBdr>
        </w:div>
        <w:div w:id="2006278625">
          <w:marLeft w:val="274"/>
          <w:marRight w:val="86"/>
          <w:marTop w:val="0"/>
          <w:marBottom w:val="0"/>
          <w:divBdr>
            <w:top w:val="none" w:sz="0" w:space="0" w:color="auto"/>
            <w:left w:val="none" w:sz="0" w:space="0" w:color="auto"/>
            <w:bottom w:val="none" w:sz="0" w:space="0" w:color="auto"/>
            <w:right w:val="none" w:sz="0" w:space="0" w:color="auto"/>
          </w:divBdr>
        </w:div>
        <w:div w:id="2043092687">
          <w:marLeft w:val="274"/>
          <w:marRight w:val="86"/>
          <w:marTop w:val="0"/>
          <w:marBottom w:val="0"/>
          <w:divBdr>
            <w:top w:val="none" w:sz="0" w:space="0" w:color="auto"/>
            <w:left w:val="none" w:sz="0" w:space="0" w:color="auto"/>
            <w:bottom w:val="none" w:sz="0" w:space="0" w:color="auto"/>
            <w:right w:val="none" w:sz="0" w:space="0" w:color="auto"/>
          </w:divBdr>
        </w:div>
        <w:div w:id="2051219326">
          <w:marLeft w:val="274"/>
          <w:marRight w:val="86"/>
          <w:marTop w:val="0"/>
          <w:marBottom w:val="0"/>
          <w:divBdr>
            <w:top w:val="none" w:sz="0" w:space="0" w:color="auto"/>
            <w:left w:val="none" w:sz="0" w:space="0" w:color="auto"/>
            <w:bottom w:val="none" w:sz="0" w:space="0" w:color="auto"/>
            <w:right w:val="none" w:sz="0" w:space="0" w:color="auto"/>
          </w:divBdr>
        </w:div>
        <w:div w:id="2054454909">
          <w:marLeft w:val="274"/>
          <w:marRight w:val="86"/>
          <w:marTop w:val="0"/>
          <w:marBottom w:val="0"/>
          <w:divBdr>
            <w:top w:val="none" w:sz="0" w:space="0" w:color="auto"/>
            <w:left w:val="none" w:sz="0" w:space="0" w:color="auto"/>
            <w:bottom w:val="none" w:sz="0" w:space="0" w:color="auto"/>
            <w:right w:val="none" w:sz="0" w:space="0" w:color="auto"/>
          </w:divBdr>
        </w:div>
        <w:div w:id="2055232322">
          <w:marLeft w:val="274"/>
          <w:marRight w:val="86"/>
          <w:marTop w:val="0"/>
          <w:marBottom w:val="0"/>
          <w:divBdr>
            <w:top w:val="none" w:sz="0" w:space="0" w:color="auto"/>
            <w:left w:val="none" w:sz="0" w:space="0" w:color="auto"/>
            <w:bottom w:val="none" w:sz="0" w:space="0" w:color="auto"/>
            <w:right w:val="none" w:sz="0" w:space="0" w:color="auto"/>
          </w:divBdr>
        </w:div>
        <w:div w:id="2062052097">
          <w:marLeft w:val="274"/>
          <w:marRight w:val="86"/>
          <w:marTop w:val="0"/>
          <w:marBottom w:val="0"/>
          <w:divBdr>
            <w:top w:val="none" w:sz="0" w:space="0" w:color="auto"/>
            <w:left w:val="none" w:sz="0" w:space="0" w:color="auto"/>
            <w:bottom w:val="none" w:sz="0" w:space="0" w:color="auto"/>
            <w:right w:val="none" w:sz="0" w:space="0" w:color="auto"/>
          </w:divBdr>
        </w:div>
        <w:div w:id="2064019940">
          <w:marLeft w:val="274"/>
          <w:marRight w:val="86"/>
          <w:marTop w:val="0"/>
          <w:marBottom w:val="0"/>
          <w:divBdr>
            <w:top w:val="none" w:sz="0" w:space="0" w:color="auto"/>
            <w:left w:val="none" w:sz="0" w:space="0" w:color="auto"/>
            <w:bottom w:val="none" w:sz="0" w:space="0" w:color="auto"/>
            <w:right w:val="none" w:sz="0" w:space="0" w:color="auto"/>
          </w:divBdr>
        </w:div>
        <w:div w:id="2066683065">
          <w:marLeft w:val="274"/>
          <w:marRight w:val="86"/>
          <w:marTop w:val="0"/>
          <w:marBottom w:val="0"/>
          <w:divBdr>
            <w:top w:val="none" w:sz="0" w:space="0" w:color="auto"/>
            <w:left w:val="none" w:sz="0" w:space="0" w:color="auto"/>
            <w:bottom w:val="none" w:sz="0" w:space="0" w:color="auto"/>
            <w:right w:val="none" w:sz="0" w:space="0" w:color="auto"/>
          </w:divBdr>
        </w:div>
        <w:div w:id="2080245310">
          <w:marLeft w:val="274"/>
          <w:marRight w:val="86"/>
          <w:marTop w:val="0"/>
          <w:marBottom w:val="0"/>
          <w:divBdr>
            <w:top w:val="none" w:sz="0" w:space="0" w:color="auto"/>
            <w:left w:val="none" w:sz="0" w:space="0" w:color="auto"/>
            <w:bottom w:val="none" w:sz="0" w:space="0" w:color="auto"/>
            <w:right w:val="none" w:sz="0" w:space="0" w:color="auto"/>
          </w:divBdr>
        </w:div>
        <w:div w:id="2087796332">
          <w:marLeft w:val="274"/>
          <w:marRight w:val="86"/>
          <w:marTop w:val="0"/>
          <w:marBottom w:val="0"/>
          <w:divBdr>
            <w:top w:val="none" w:sz="0" w:space="0" w:color="auto"/>
            <w:left w:val="none" w:sz="0" w:space="0" w:color="auto"/>
            <w:bottom w:val="none" w:sz="0" w:space="0" w:color="auto"/>
            <w:right w:val="none" w:sz="0" w:space="0" w:color="auto"/>
          </w:divBdr>
        </w:div>
        <w:div w:id="2098941136">
          <w:marLeft w:val="274"/>
          <w:marRight w:val="86"/>
          <w:marTop w:val="0"/>
          <w:marBottom w:val="0"/>
          <w:divBdr>
            <w:top w:val="none" w:sz="0" w:space="0" w:color="auto"/>
            <w:left w:val="none" w:sz="0" w:space="0" w:color="auto"/>
            <w:bottom w:val="none" w:sz="0" w:space="0" w:color="auto"/>
            <w:right w:val="none" w:sz="0" w:space="0" w:color="auto"/>
          </w:divBdr>
        </w:div>
        <w:div w:id="2111967523">
          <w:marLeft w:val="360"/>
          <w:marRight w:val="288"/>
          <w:marTop w:val="0"/>
          <w:marBottom w:val="0"/>
          <w:divBdr>
            <w:top w:val="none" w:sz="0" w:space="0" w:color="auto"/>
            <w:left w:val="none" w:sz="0" w:space="0" w:color="auto"/>
            <w:bottom w:val="none" w:sz="0" w:space="0" w:color="auto"/>
            <w:right w:val="none" w:sz="0" w:space="0" w:color="auto"/>
          </w:divBdr>
        </w:div>
        <w:div w:id="2121558909">
          <w:marLeft w:val="274"/>
          <w:marRight w:val="86"/>
          <w:marTop w:val="0"/>
          <w:marBottom w:val="0"/>
          <w:divBdr>
            <w:top w:val="none" w:sz="0" w:space="0" w:color="auto"/>
            <w:left w:val="none" w:sz="0" w:space="0" w:color="auto"/>
            <w:bottom w:val="none" w:sz="0" w:space="0" w:color="auto"/>
            <w:right w:val="none" w:sz="0" w:space="0" w:color="auto"/>
          </w:divBdr>
        </w:div>
      </w:divsChild>
    </w:div>
    <w:div w:id="1451319636">
      <w:bodyDiv w:val="1"/>
      <w:marLeft w:val="0"/>
      <w:marRight w:val="0"/>
      <w:marTop w:val="0"/>
      <w:marBottom w:val="0"/>
      <w:divBdr>
        <w:top w:val="none" w:sz="0" w:space="0" w:color="auto"/>
        <w:left w:val="none" w:sz="0" w:space="0" w:color="auto"/>
        <w:bottom w:val="none" w:sz="0" w:space="0" w:color="auto"/>
        <w:right w:val="none" w:sz="0" w:space="0" w:color="auto"/>
      </w:divBdr>
      <w:divsChild>
        <w:div w:id="641424352">
          <w:marLeft w:val="634"/>
          <w:marRight w:val="0"/>
          <w:marTop w:val="0"/>
          <w:marBottom w:val="0"/>
          <w:divBdr>
            <w:top w:val="none" w:sz="0" w:space="0" w:color="auto"/>
            <w:left w:val="none" w:sz="0" w:space="0" w:color="auto"/>
            <w:bottom w:val="none" w:sz="0" w:space="0" w:color="auto"/>
            <w:right w:val="none" w:sz="0" w:space="0" w:color="auto"/>
          </w:divBdr>
        </w:div>
      </w:divsChild>
    </w:div>
    <w:div w:id="1452703212">
      <w:bodyDiv w:val="1"/>
      <w:marLeft w:val="0"/>
      <w:marRight w:val="0"/>
      <w:marTop w:val="0"/>
      <w:marBottom w:val="0"/>
      <w:divBdr>
        <w:top w:val="none" w:sz="0" w:space="0" w:color="auto"/>
        <w:left w:val="none" w:sz="0" w:space="0" w:color="auto"/>
        <w:bottom w:val="none" w:sz="0" w:space="0" w:color="auto"/>
        <w:right w:val="none" w:sz="0" w:space="0" w:color="auto"/>
      </w:divBdr>
    </w:div>
    <w:div w:id="1458066476">
      <w:bodyDiv w:val="1"/>
      <w:marLeft w:val="0"/>
      <w:marRight w:val="0"/>
      <w:marTop w:val="0"/>
      <w:marBottom w:val="0"/>
      <w:divBdr>
        <w:top w:val="none" w:sz="0" w:space="0" w:color="auto"/>
        <w:left w:val="none" w:sz="0" w:space="0" w:color="auto"/>
        <w:bottom w:val="none" w:sz="0" w:space="0" w:color="auto"/>
        <w:right w:val="none" w:sz="0" w:space="0" w:color="auto"/>
      </w:divBdr>
    </w:div>
    <w:div w:id="1481574152">
      <w:bodyDiv w:val="1"/>
      <w:marLeft w:val="0"/>
      <w:marRight w:val="0"/>
      <w:marTop w:val="0"/>
      <w:marBottom w:val="0"/>
      <w:divBdr>
        <w:top w:val="none" w:sz="0" w:space="0" w:color="auto"/>
        <w:left w:val="none" w:sz="0" w:space="0" w:color="auto"/>
        <w:bottom w:val="none" w:sz="0" w:space="0" w:color="auto"/>
        <w:right w:val="none" w:sz="0" w:space="0" w:color="auto"/>
      </w:divBdr>
      <w:divsChild>
        <w:div w:id="573392729">
          <w:marLeft w:val="360"/>
          <w:marRight w:val="0"/>
          <w:marTop w:val="200"/>
          <w:marBottom w:val="0"/>
          <w:divBdr>
            <w:top w:val="none" w:sz="0" w:space="0" w:color="auto"/>
            <w:left w:val="none" w:sz="0" w:space="0" w:color="auto"/>
            <w:bottom w:val="none" w:sz="0" w:space="0" w:color="auto"/>
            <w:right w:val="none" w:sz="0" w:space="0" w:color="auto"/>
          </w:divBdr>
        </w:div>
        <w:div w:id="1217740213">
          <w:marLeft w:val="360"/>
          <w:marRight w:val="0"/>
          <w:marTop w:val="200"/>
          <w:marBottom w:val="0"/>
          <w:divBdr>
            <w:top w:val="none" w:sz="0" w:space="0" w:color="auto"/>
            <w:left w:val="none" w:sz="0" w:space="0" w:color="auto"/>
            <w:bottom w:val="none" w:sz="0" w:space="0" w:color="auto"/>
            <w:right w:val="none" w:sz="0" w:space="0" w:color="auto"/>
          </w:divBdr>
        </w:div>
        <w:div w:id="2144107212">
          <w:marLeft w:val="360"/>
          <w:marRight w:val="0"/>
          <w:marTop w:val="200"/>
          <w:marBottom w:val="0"/>
          <w:divBdr>
            <w:top w:val="none" w:sz="0" w:space="0" w:color="auto"/>
            <w:left w:val="none" w:sz="0" w:space="0" w:color="auto"/>
            <w:bottom w:val="none" w:sz="0" w:space="0" w:color="auto"/>
            <w:right w:val="none" w:sz="0" w:space="0" w:color="auto"/>
          </w:divBdr>
        </w:div>
      </w:divsChild>
    </w:div>
    <w:div w:id="1497263944">
      <w:bodyDiv w:val="1"/>
      <w:marLeft w:val="0"/>
      <w:marRight w:val="0"/>
      <w:marTop w:val="0"/>
      <w:marBottom w:val="0"/>
      <w:divBdr>
        <w:top w:val="none" w:sz="0" w:space="0" w:color="auto"/>
        <w:left w:val="none" w:sz="0" w:space="0" w:color="auto"/>
        <w:bottom w:val="none" w:sz="0" w:space="0" w:color="auto"/>
        <w:right w:val="none" w:sz="0" w:space="0" w:color="auto"/>
      </w:divBdr>
      <w:divsChild>
        <w:div w:id="1141537966">
          <w:marLeft w:val="634"/>
          <w:marRight w:val="0"/>
          <w:marTop w:val="60"/>
          <w:marBottom w:val="60"/>
          <w:divBdr>
            <w:top w:val="none" w:sz="0" w:space="0" w:color="auto"/>
            <w:left w:val="none" w:sz="0" w:space="0" w:color="auto"/>
            <w:bottom w:val="none" w:sz="0" w:space="0" w:color="auto"/>
            <w:right w:val="none" w:sz="0" w:space="0" w:color="auto"/>
          </w:divBdr>
        </w:div>
      </w:divsChild>
    </w:div>
    <w:div w:id="1498184155">
      <w:bodyDiv w:val="1"/>
      <w:marLeft w:val="0"/>
      <w:marRight w:val="0"/>
      <w:marTop w:val="0"/>
      <w:marBottom w:val="0"/>
      <w:divBdr>
        <w:top w:val="none" w:sz="0" w:space="0" w:color="auto"/>
        <w:left w:val="none" w:sz="0" w:space="0" w:color="auto"/>
        <w:bottom w:val="none" w:sz="0" w:space="0" w:color="auto"/>
        <w:right w:val="none" w:sz="0" w:space="0" w:color="auto"/>
      </w:divBdr>
      <w:divsChild>
        <w:div w:id="1240096427">
          <w:marLeft w:val="547"/>
          <w:marRight w:val="0"/>
          <w:marTop w:val="0"/>
          <w:marBottom w:val="100"/>
          <w:divBdr>
            <w:top w:val="none" w:sz="0" w:space="0" w:color="auto"/>
            <w:left w:val="none" w:sz="0" w:space="0" w:color="auto"/>
            <w:bottom w:val="none" w:sz="0" w:space="0" w:color="auto"/>
            <w:right w:val="none" w:sz="0" w:space="0" w:color="auto"/>
          </w:divBdr>
        </w:div>
      </w:divsChild>
    </w:div>
    <w:div w:id="1521046505">
      <w:bodyDiv w:val="1"/>
      <w:marLeft w:val="0"/>
      <w:marRight w:val="0"/>
      <w:marTop w:val="0"/>
      <w:marBottom w:val="0"/>
      <w:divBdr>
        <w:top w:val="none" w:sz="0" w:space="0" w:color="auto"/>
        <w:left w:val="none" w:sz="0" w:space="0" w:color="auto"/>
        <w:bottom w:val="none" w:sz="0" w:space="0" w:color="auto"/>
        <w:right w:val="none" w:sz="0" w:space="0" w:color="auto"/>
      </w:divBdr>
      <w:divsChild>
        <w:div w:id="716199367">
          <w:marLeft w:val="274"/>
          <w:marRight w:val="0"/>
          <w:marTop w:val="60"/>
          <w:marBottom w:val="60"/>
          <w:divBdr>
            <w:top w:val="none" w:sz="0" w:space="0" w:color="auto"/>
            <w:left w:val="none" w:sz="0" w:space="0" w:color="auto"/>
            <w:bottom w:val="none" w:sz="0" w:space="0" w:color="auto"/>
            <w:right w:val="none" w:sz="0" w:space="0" w:color="auto"/>
          </w:divBdr>
        </w:div>
        <w:div w:id="717095264">
          <w:marLeft w:val="274"/>
          <w:marRight w:val="0"/>
          <w:marTop w:val="60"/>
          <w:marBottom w:val="60"/>
          <w:divBdr>
            <w:top w:val="none" w:sz="0" w:space="0" w:color="auto"/>
            <w:left w:val="none" w:sz="0" w:space="0" w:color="auto"/>
            <w:bottom w:val="none" w:sz="0" w:space="0" w:color="auto"/>
            <w:right w:val="none" w:sz="0" w:space="0" w:color="auto"/>
          </w:divBdr>
        </w:div>
        <w:div w:id="1028331517">
          <w:marLeft w:val="274"/>
          <w:marRight w:val="0"/>
          <w:marTop w:val="60"/>
          <w:marBottom w:val="60"/>
          <w:divBdr>
            <w:top w:val="none" w:sz="0" w:space="0" w:color="auto"/>
            <w:left w:val="none" w:sz="0" w:space="0" w:color="auto"/>
            <w:bottom w:val="none" w:sz="0" w:space="0" w:color="auto"/>
            <w:right w:val="none" w:sz="0" w:space="0" w:color="auto"/>
          </w:divBdr>
        </w:div>
      </w:divsChild>
    </w:div>
    <w:div w:id="1528132446">
      <w:bodyDiv w:val="1"/>
      <w:marLeft w:val="0"/>
      <w:marRight w:val="0"/>
      <w:marTop w:val="0"/>
      <w:marBottom w:val="0"/>
      <w:divBdr>
        <w:top w:val="none" w:sz="0" w:space="0" w:color="auto"/>
        <w:left w:val="none" w:sz="0" w:space="0" w:color="auto"/>
        <w:bottom w:val="none" w:sz="0" w:space="0" w:color="auto"/>
        <w:right w:val="none" w:sz="0" w:space="0" w:color="auto"/>
      </w:divBdr>
    </w:div>
    <w:div w:id="1530870418">
      <w:bodyDiv w:val="1"/>
      <w:marLeft w:val="0"/>
      <w:marRight w:val="0"/>
      <w:marTop w:val="0"/>
      <w:marBottom w:val="0"/>
      <w:divBdr>
        <w:top w:val="none" w:sz="0" w:space="0" w:color="auto"/>
        <w:left w:val="none" w:sz="0" w:space="0" w:color="auto"/>
        <w:bottom w:val="none" w:sz="0" w:space="0" w:color="auto"/>
        <w:right w:val="none" w:sz="0" w:space="0" w:color="auto"/>
      </w:divBdr>
      <w:divsChild>
        <w:div w:id="184171122">
          <w:marLeft w:val="360"/>
          <w:marRight w:val="0"/>
          <w:marTop w:val="200"/>
          <w:marBottom w:val="0"/>
          <w:divBdr>
            <w:top w:val="none" w:sz="0" w:space="0" w:color="auto"/>
            <w:left w:val="none" w:sz="0" w:space="0" w:color="auto"/>
            <w:bottom w:val="none" w:sz="0" w:space="0" w:color="auto"/>
            <w:right w:val="none" w:sz="0" w:space="0" w:color="auto"/>
          </w:divBdr>
        </w:div>
        <w:div w:id="471871885">
          <w:marLeft w:val="360"/>
          <w:marRight w:val="0"/>
          <w:marTop w:val="200"/>
          <w:marBottom w:val="0"/>
          <w:divBdr>
            <w:top w:val="none" w:sz="0" w:space="0" w:color="auto"/>
            <w:left w:val="none" w:sz="0" w:space="0" w:color="auto"/>
            <w:bottom w:val="none" w:sz="0" w:space="0" w:color="auto"/>
            <w:right w:val="none" w:sz="0" w:space="0" w:color="auto"/>
          </w:divBdr>
        </w:div>
        <w:div w:id="678436061">
          <w:marLeft w:val="360"/>
          <w:marRight w:val="0"/>
          <w:marTop w:val="200"/>
          <w:marBottom w:val="0"/>
          <w:divBdr>
            <w:top w:val="none" w:sz="0" w:space="0" w:color="auto"/>
            <w:left w:val="none" w:sz="0" w:space="0" w:color="auto"/>
            <w:bottom w:val="none" w:sz="0" w:space="0" w:color="auto"/>
            <w:right w:val="none" w:sz="0" w:space="0" w:color="auto"/>
          </w:divBdr>
        </w:div>
        <w:div w:id="698046292">
          <w:marLeft w:val="360"/>
          <w:marRight w:val="0"/>
          <w:marTop w:val="200"/>
          <w:marBottom w:val="0"/>
          <w:divBdr>
            <w:top w:val="none" w:sz="0" w:space="0" w:color="auto"/>
            <w:left w:val="none" w:sz="0" w:space="0" w:color="auto"/>
            <w:bottom w:val="none" w:sz="0" w:space="0" w:color="auto"/>
            <w:right w:val="none" w:sz="0" w:space="0" w:color="auto"/>
          </w:divBdr>
        </w:div>
      </w:divsChild>
    </w:div>
    <w:div w:id="1543056736">
      <w:bodyDiv w:val="1"/>
      <w:marLeft w:val="0"/>
      <w:marRight w:val="0"/>
      <w:marTop w:val="0"/>
      <w:marBottom w:val="0"/>
      <w:divBdr>
        <w:top w:val="none" w:sz="0" w:space="0" w:color="auto"/>
        <w:left w:val="none" w:sz="0" w:space="0" w:color="auto"/>
        <w:bottom w:val="none" w:sz="0" w:space="0" w:color="auto"/>
        <w:right w:val="none" w:sz="0" w:space="0" w:color="auto"/>
      </w:divBdr>
    </w:div>
    <w:div w:id="1553879585">
      <w:bodyDiv w:val="1"/>
      <w:marLeft w:val="0"/>
      <w:marRight w:val="0"/>
      <w:marTop w:val="0"/>
      <w:marBottom w:val="0"/>
      <w:divBdr>
        <w:top w:val="none" w:sz="0" w:space="0" w:color="auto"/>
        <w:left w:val="none" w:sz="0" w:space="0" w:color="auto"/>
        <w:bottom w:val="none" w:sz="0" w:space="0" w:color="auto"/>
        <w:right w:val="none" w:sz="0" w:space="0" w:color="auto"/>
      </w:divBdr>
    </w:div>
    <w:div w:id="1556351157">
      <w:bodyDiv w:val="1"/>
      <w:marLeft w:val="0"/>
      <w:marRight w:val="0"/>
      <w:marTop w:val="0"/>
      <w:marBottom w:val="0"/>
      <w:divBdr>
        <w:top w:val="none" w:sz="0" w:space="0" w:color="auto"/>
        <w:left w:val="none" w:sz="0" w:space="0" w:color="auto"/>
        <w:bottom w:val="none" w:sz="0" w:space="0" w:color="auto"/>
        <w:right w:val="none" w:sz="0" w:space="0" w:color="auto"/>
      </w:divBdr>
      <w:divsChild>
        <w:div w:id="450633963">
          <w:marLeft w:val="274"/>
          <w:marRight w:val="0"/>
          <w:marTop w:val="60"/>
          <w:marBottom w:val="60"/>
          <w:divBdr>
            <w:top w:val="none" w:sz="0" w:space="0" w:color="auto"/>
            <w:left w:val="none" w:sz="0" w:space="0" w:color="auto"/>
            <w:bottom w:val="none" w:sz="0" w:space="0" w:color="auto"/>
            <w:right w:val="none" w:sz="0" w:space="0" w:color="auto"/>
          </w:divBdr>
        </w:div>
        <w:div w:id="477234769">
          <w:marLeft w:val="274"/>
          <w:marRight w:val="0"/>
          <w:marTop w:val="60"/>
          <w:marBottom w:val="60"/>
          <w:divBdr>
            <w:top w:val="none" w:sz="0" w:space="0" w:color="auto"/>
            <w:left w:val="none" w:sz="0" w:space="0" w:color="auto"/>
            <w:bottom w:val="none" w:sz="0" w:space="0" w:color="auto"/>
            <w:right w:val="none" w:sz="0" w:space="0" w:color="auto"/>
          </w:divBdr>
        </w:div>
        <w:div w:id="688726040">
          <w:marLeft w:val="274"/>
          <w:marRight w:val="0"/>
          <w:marTop w:val="60"/>
          <w:marBottom w:val="60"/>
          <w:divBdr>
            <w:top w:val="none" w:sz="0" w:space="0" w:color="auto"/>
            <w:left w:val="none" w:sz="0" w:space="0" w:color="auto"/>
            <w:bottom w:val="none" w:sz="0" w:space="0" w:color="auto"/>
            <w:right w:val="none" w:sz="0" w:space="0" w:color="auto"/>
          </w:divBdr>
        </w:div>
        <w:div w:id="877667240">
          <w:marLeft w:val="274"/>
          <w:marRight w:val="0"/>
          <w:marTop w:val="60"/>
          <w:marBottom w:val="60"/>
          <w:divBdr>
            <w:top w:val="none" w:sz="0" w:space="0" w:color="auto"/>
            <w:left w:val="none" w:sz="0" w:space="0" w:color="auto"/>
            <w:bottom w:val="none" w:sz="0" w:space="0" w:color="auto"/>
            <w:right w:val="none" w:sz="0" w:space="0" w:color="auto"/>
          </w:divBdr>
        </w:div>
        <w:div w:id="1040125888">
          <w:marLeft w:val="274"/>
          <w:marRight w:val="0"/>
          <w:marTop w:val="60"/>
          <w:marBottom w:val="60"/>
          <w:divBdr>
            <w:top w:val="none" w:sz="0" w:space="0" w:color="auto"/>
            <w:left w:val="none" w:sz="0" w:space="0" w:color="auto"/>
            <w:bottom w:val="none" w:sz="0" w:space="0" w:color="auto"/>
            <w:right w:val="none" w:sz="0" w:space="0" w:color="auto"/>
          </w:divBdr>
        </w:div>
        <w:div w:id="1200514360">
          <w:marLeft w:val="274"/>
          <w:marRight w:val="0"/>
          <w:marTop w:val="60"/>
          <w:marBottom w:val="60"/>
          <w:divBdr>
            <w:top w:val="none" w:sz="0" w:space="0" w:color="auto"/>
            <w:left w:val="none" w:sz="0" w:space="0" w:color="auto"/>
            <w:bottom w:val="none" w:sz="0" w:space="0" w:color="auto"/>
            <w:right w:val="none" w:sz="0" w:space="0" w:color="auto"/>
          </w:divBdr>
        </w:div>
        <w:div w:id="1396195418">
          <w:marLeft w:val="274"/>
          <w:marRight w:val="0"/>
          <w:marTop w:val="60"/>
          <w:marBottom w:val="60"/>
          <w:divBdr>
            <w:top w:val="none" w:sz="0" w:space="0" w:color="auto"/>
            <w:left w:val="none" w:sz="0" w:space="0" w:color="auto"/>
            <w:bottom w:val="none" w:sz="0" w:space="0" w:color="auto"/>
            <w:right w:val="none" w:sz="0" w:space="0" w:color="auto"/>
          </w:divBdr>
        </w:div>
      </w:divsChild>
    </w:div>
    <w:div w:id="1559852985">
      <w:bodyDiv w:val="1"/>
      <w:marLeft w:val="0"/>
      <w:marRight w:val="0"/>
      <w:marTop w:val="0"/>
      <w:marBottom w:val="0"/>
      <w:divBdr>
        <w:top w:val="none" w:sz="0" w:space="0" w:color="auto"/>
        <w:left w:val="none" w:sz="0" w:space="0" w:color="auto"/>
        <w:bottom w:val="none" w:sz="0" w:space="0" w:color="auto"/>
        <w:right w:val="none" w:sz="0" w:space="0" w:color="auto"/>
      </w:divBdr>
    </w:div>
    <w:div w:id="1561283283">
      <w:bodyDiv w:val="1"/>
      <w:marLeft w:val="0"/>
      <w:marRight w:val="0"/>
      <w:marTop w:val="0"/>
      <w:marBottom w:val="0"/>
      <w:divBdr>
        <w:top w:val="none" w:sz="0" w:space="0" w:color="auto"/>
        <w:left w:val="none" w:sz="0" w:space="0" w:color="auto"/>
        <w:bottom w:val="none" w:sz="0" w:space="0" w:color="auto"/>
        <w:right w:val="none" w:sz="0" w:space="0" w:color="auto"/>
      </w:divBdr>
    </w:div>
    <w:div w:id="1576743626">
      <w:bodyDiv w:val="1"/>
      <w:marLeft w:val="0"/>
      <w:marRight w:val="0"/>
      <w:marTop w:val="0"/>
      <w:marBottom w:val="0"/>
      <w:divBdr>
        <w:top w:val="none" w:sz="0" w:space="0" w:color="auto"/>
        <w:left w:val="none" w:sz="0" w:space="0" w:color="auto"/>
        <w:bottom w:val="none" w:sz="0" w:space="0" w:color="auto"/>
        <w:right w:val="none" w:sz="0" w:space="0" w:color="auto"/>
      </w:divBdr>
    </w:div>
    <w:div w:id="1600484996">
      <w:bodyDiv w:val="1"/>
      <w:marLeft w:val="0"/>
      <w:marRight w:val="0"/>
      <w:marTop w:val="0"/>
      <w:marBottom w:val="0"/>
      <w:divBdr>
        <w:top w:val="none" w:sz="0" w:space="0" w:color="auto"/>
        <w:left w:val="none" w:sz="0" w:space="0" w:color="auto"/>
        <w:bottom w:val="none" w:sz="0" w:space="0" w:color="auto"/>
        <w:right w:val="none" w:sz="0" w:space="0" w:color="auto"/>
      </w:divBdr>
    </w:div>
    <w:div w:id="1617322657">
      <w:bodyDiv w:val="1"/>
      <w:marLeft w:val="0"/>
      <w:marRight w:val="0"/>
      <w:marTop w:val="0"/>
      <w:marBottom w:val="0"/>
      <w:divBdr>
        <w:top w:val="none" w:sz="0" w:space="0" w:color="auto"/>
        <w:left w:val="none" w:sz="0" w:space="0" w:color="auto"/>
        <w:bottom w:val="none" w:sz="0" w:space="0" w:color="auto"/>
        <w:right w:val="none" w:sz="0" w:space="0" w:color="auto"/>
      </w:divBdr>
      <w:divsChild>
        <w:div w:id="781533191">
          <w:marLeft w:val="634"/>
          <w:marRight w:val="0"/>
          <w:marTop w:val="0"/>
          <w:marBottom w:val="0"/>
          <w:divBdr>
            <w:top w:val="none" w:sz="0" w:space="0" w:color="auto"/>
            <w:left w:val="none" w:sz="0" w:space="0" w:color="auto"/>
            <w:bottom w:val="none" w:sz="0" w:space="0" w:color="auto"/>
            <w:right w:val="none" w:sz="0" w:space="0" w:color="auto"/>
          </w:divBdr>
        </w:div>
      </w:divsChild>
    </w:div>
    <w:div w:id="1621111444">
      <w:bodyDiv w:val="1"/>
      <w:marLeft w:val="0"/>
      <w:marRight w:val="0"/>
      <w:marTop w:val="0"/>
      <w:marBottom w:val="0"/>
      <w:divBdr>
        <w:top w:val="none" w:sz="0" w:space="0" w:color="auto"/>
        <w:left w:val="none" w:sz="0" w:space="0" w:color="auto"/>
        <w:bottom w:val="none" w:sz="0" w:space="0" w:color="auto"/>
        <w:right w:val="none" w:sz="0" w:space="0" w:color="auto"/>
      </w:divBdr>
      <w:divsChild>
        <w:div w:id="481821589">
          <w:marLeft w:val="360"/>
          <w:marRight w:val="0"/>
          <w:marTop w:val="200"/>
          <w:marBottom w:val="0"/>
          <w:divBdr>
            <w:top w:val="none" w:sz="0" w:space="0" w:color="auto"/>
            <w:left w:val="none" w:sz="0" w:space="0" w:color="auto"/>
            <w:bottom w:val="none" w:sz="0" w:space="0" w:color="auto"/>
            <w:right w:val="none" w:sz="0" w:space="0" w:color="auto"/>
          </w:divBdr>
        </w:div>
        <w:div w:id="773598460">
          <w:marLeft w:val="360"/>
          <w:marRight w:val="0"/>
          <w:marTop w:val="200"/>
          <w:marBottom w:val="0"/>
          <w:divBdr>
            <w:top w:val="none" w:sz="0" w:space="0" w:color="auto"/>
            <w:left w:val="none" w:sz="0" w:space="0" w:color="auto"/>
            <w:bottom w:val="none" w:sz="0" w:space="0" w:color="auto"/>
            <w:right w:val="none" w:sz="0" w:space="0" w:color="auto"/>
          </w:divBdr>
        </w:div>
        <w:div w:id="1030302881">
          <w:marLeft w:val="360"/>
          <w:marRight w:val="0"/>
          <w:marTop w:val="200"/>
          <w:marBottom w:val="0"/>
          <w:divBdr>
            <w:top w:val="none" w:sz="0" w:space="0" w:color="auto"/>
            <w:left w:val="none" w:sz="0" w:space="0" w:color="auto"/>
            <w:bottom w:val="none" w:sz="0" w:space="0" w:color="auto"/>
            <w:right w:val="none" w:sz="0" w:space="0" w:color="auto"/>
          </w:divBdr>
        </w:div>
      </w:divsChild>
    </w:div>
    <w:div w:id="1622565743">
      <w:bodyDiv w:val="1"/>
      <w:marLeft w:val="0"/>
      <w:marRight w:val="0"/>
      <w:marTop w:val="0"/>
      <w:marBottom w:val="0"/>
      <w:divBdr>
        <w:top w:val="none" w:sz="0" w:space="0" w:color="auto"/>
        <w:left w:val="none" w:sz="0" w:space="0" w:color="auto"/>
        <w:bottom w:val="none" w:sz="0" w:space="0" w:color="auto"/>
        <w:right w:val="none" w:sz="0" w:space="0" w:color="auto"/>
      </w:divBdr>
    </w:div>
    <w:div w:id="1637222149">
      <w:bodyDiv w:val="1"/>
      <w:marLeft w:val="0"/>
      <w:marRight w:val="0"/>
      <w:marTop w:val="0"/>
      <w:marBottom w:val="0"/>
      <w:divBdr>
        <w:top w:val="none" w:sz="0" w:space="0" w:color="auto"/>
        <w:left w:val="none" w:sz="0" w:space="0" w:color="auto"/>
        <w:bottom w:val="none" w:sz="0" w:space="0" w:color="auto"/>
        <w:right w:val="none" w:sz="0" w:space="0" w:color="auto"/>
      </w:divBdr>
    </w:div>
    <w:div w:id="1652366928">
      <w:bodyDiv w:val="1"/>
      <w:marLeft w:val="0"/>
      <w:marRight w:val="0"/>
      <w:marTop w:val="0"/>
      <w:marBottom w:val="0"/>
      <w:divBdr>
        <w:top w:val="none" w:sz="0" w:space="0" w:color="auto"/>
        <w:left w:val="none" w:sz="0" w:space="0" w:color="auto"/>
        <w:bottom w:val="none" w:sz="0" w:space="0" w:color="auto"/>
        <w:right w:val="none" w:sz="0" w:space="0" w:color="auto"/>
      </w:divBdr>
    </w:div>
    <w:div w:id="1670055665">
      <w:bodyDiv w:val="1"/>
      <w:marLeft w:val="0"/>
      <w:marRight w:val="0"/>
      <w:marTop w:val="0"/>
      <w:marBottom w:val="0"/>
      <w:divBdr>
        <w:top w:val="none" w:sz="0" w:space="0" w:color="auto"/>
        <w:left w:val="none" w:sz="0" w:space="0" w:color="auto"/>
        <w:bottom w:val="none" w:sz="0" w:space="0" w:color="auto"/>
        <w:right w:val="none" w:sz="0" w:space="0" w:color="auto"/>
      </w:divBdr>
    </w:div>
    <w:div w:id="1671906235">
      <w:bodyDiv w:val="1"/>
      <w:marLeft w:val="0"/>
      <w:marRight w:val="0"/>
      <w:marTop w:val="0"/>
      <w:marBottom w:val="0"/>
      <w:divBdr>
        <w:top w:val="none" w:sz="0" w:space="0" w:color="auto"/>
        <w:left w:val="none" w:sz="0" w:space="0" w:color="auto"/>
        <w:bottom w:val="none" w:sz="0" w:space="0" w:color="auto"/>
        <w:right w:val="none" w:sz="0" w:space="0" w:color="auto"/>
      </w:divBdr>
    </w:div>
    <w:div w:id="1672904155">
      <w:bodyDiv w:val="1"/>
      <w:marLeft w:val="0"/>
      <w:marRight w:val="0"/>
      <w:marTop w:val="0"/>
      <w:marBottom w:val="0"/>
      <w:divBdr>
        <w:top w:val="none" w:sz="0" w:space="0" w:color="auto"/>
        <w:left w:val="none" w:sz="0" w:space="0" w:color="auto"/>
        <w:bottom w:val="none" w:sz="0" w:space="0" w:color="auto"/>
        <w:right w:val="none" w:sz="0" w:space="0" w:color="auto"/>
      </w:divBdr>
    </w:div>
    <w:div w:id="1675109847">
      <w:bodyDiv w:val="1"/>
      <w:marLeft w:val="0"/>
      <w:marRight w:val="0"/>
      <w:marTop w:val="0"/>
      <w:marBottom w:val="0"/>
      <w:divBdr>
        <w:top w:val="none" w:sz="0" w:space="0" w:color="auto"/>
        <w:left w:val="none" w:sz="0" w:space="0" w:color="auto"/>
        <w:bottom w:val="none" w:sz="0" w:space="0" w:color="auto"/>
        <w:right w:val="none" w:sz="0" w:space="0" w:color="auto"/>
      </w:divBdr>
      <w:divsChild>
        <w:div w:id="530652160">
          <w:marLeft w:val="360"/>
          <w:marRight w:val="0"/>
          <w:marTop w:val="200"/>
          <w:marBottom w:val="0"/>
          <w:divBdr>
            <w:top w:val="none" w:sz="0" w:space="0" w:color="auto"/>
            <w:left w:val="none" w:sz="0" w:space="0" w:color="auto"/>
            <w:bottom w:val="none" w:sz="0" w:space="0" w:color="auto"/>
            <w:right w:val="none" w:sz="0" w:space="0" w:color="auto"/>
          </w:divBdr>
        </w:div>
        <w:div w:id="1166440866">
          <w:marLeft w:val="360"/>
          <w:marRight w:val="0"/>
          <w:marTop w:val="200"/>
          <w:marBottom w:val="0"/>
          <w:divBdr>
            <w:top w:val="none" w:sz="0" w:space="0" w:color="auto"/>
            <w:left w:val="none" w:sz="0" w:space="0" w:color="auto"/>
            <w:bottom w:val="none" w:sz="0" w:space="0" w:color="auto"/>
            <w:right w:val="none" w:sz="0" w:space="0" w:color="auto"/>
          </w:divBdr>
        </w:div>
        <w:div w:id="1394305147">
          <w:marLeft w:val="360"/>
          <w:marRight w:val="0"/>
          <w:marTop w:val="200"/>
          <w:marBottom w:val="0"/>
          <w:divBdr>
            <w:top w:val="none" w:sz="0" w:space="0" w:color="auto"/>
            <w:left w:val="none" w:sz="0" w:space="0" w:color="auto"/>
            <w:bottom w:val="none" w:sz="0" w:space="0" w:color="auto"/>
            <w:right w:val="none" w:sz="0" w:space="0" w:color="auto"/>
          </w:divBdr>
        </w:div>
        <w:div w:id="1615139991">
          <w:marLeft w:val="360"/>
          <w:marRight w:val="0"/>
          <w:marTop w:val="200"/>
          <w:marBottom w:val="0"/>
          <w:divBdr>
            <w:top w:val="none" w:sz="0" w:space="0" w:color="auto"/>
            <w:left w:val="none" w:sz="0" w:space="0" w:color="auto"/>
            <w:bottom w:val="none" w:sz="0" w:space="0" w:color="auto"/>
            <w:right w:val="none" w:sz="0" w:space="0" w:color="auto"/>
          </w:divBdr>
        </w:div>
      </w:divsChild>
    </w:div>
    <w:div w:id="1696885370">
      <w:bodyDiv w:val="1"/>
      <w:marLeft w:val="0"/>
      <w:marRight w:val="0"/>
      <w:marTop w:val="0"/>
      <w:marBottom w:val="0"/>
      <w:divBdr>
        <w:top w:val="none" w:sz="0" w:space="0" w:color="auto"/>
        <w:left w:val="none" w:sz="0" w:space="0" w:color="auto"/>
        <w:bottom w:val="none" w:sz="0" w:space="0" w:color="auto"/>
        <w:right w:val="none" w:sz="0" w:space="0" w:color="auto"/>
      </w:divBdr>
      <w:divsChild>
        <w:div w:id="5443185">
          <w:marLeft w:val="274"/>
          <w:marRight w:val="86"/>
          <w:marTop w:val="0"/>
          <w:marBottom w:val="0"/>
          <w:divBdr>
            <w:top w:val="none" w:sz="0" w:space="0" w:color="auto"/>
            <w:left w:val="none" w:sz="0" w:space="0" w:color="auto"/>
            <w:bottom w:val="none" w:sz="0" w:space="0" w:color="auto"/>
            <w:right w:val="none" w:sz="0" w:space="0" w:color="auto"/>
          </w:divBdr>
        </w:div>
        <w:div w:id="42757512">
          <w:marLeft w:val="274"/>
          <w:marRight w:val="86"/>
          <w:marTop w:val="0"/>
          <w:marBottom w:val="0"/>
          <w:divBdr>
            <w:top w:val="none" w:sz="0" w:space="0" w:color="auto"/>
            <w:left w:val="none" w:sz="0" w:space="0" w:color="auto"/>
            <w:bottom w:val="none" w:sz="0" w:space="0" w:color="auto"/>
            <w:right w:val="none" w:sz="0" w:space="0" w:color="auto"/>
          </w:divBdr>
        </w:div>
        <w:div w:id="72239043">
          <w:marLeft w:val="274"/>
          <w:marRight w:val="86"/>
          <w:marTop w:val="0"/>
          <w:marBottom w:val="0"/>
          <w:divBdr>
            <w:top w:val="none" w:sz="0" w:space="0" w:color="auto"/>
            <w:left w:val="none" w:sz="0" w:space="0" w:color="auto"/>
            <w:bottom w:val="none" w:sz="0" w:space="0" w:color="auto"/>
            <w:right w:val="none" w:sz="0" w:space="0" w:color="auto"/>
          </w:divBdr>
        </w:div>
        <w:div w:id="74130738">
          <w:marLeft w:val="274"/>
          <w:marRight w:val="86"/>
          <w:marTop w:val="0"/>
          <w:marBottom w:val="0"/>
          <w:divBdr>
            <w:top w:val="none" w:sz="0" w:space="0" w:color="auto"/>
            <w:left w:val="none" w:sz="0" w:space="0" w:color="auto"/>
            <w:bottom w:val="none" w:sz="0" w:space="0" w:color="auto"/>
            <w:right w:val="none" w:sz="0" w:space="0" w:color="auto"/>
          </w:divBdr>
        </w:div>
        <w:div w:id="85276381">
          <w:marLeft w:val="274"/>
          <w:marRight w:val="86"/>
          <w:marTop w:val="0"/>
          <w:marBottom w:val="0"/>
          <w:divBdr>
            <w:top w:val="none" w:sz="0" w:space="0" w:color="auto"/>
            <w:left w:val="none" w:sz="0" w:space="0" w:color="auto"/>
            <w:bottom w:val="none" w:sz="0" w:space="0" w:color="auto"/>
            <w:right w:val="none" w:sz="0" w:space="0" w:color="auto"/>
          </w:divBdr>
        </w:div>
        <w:div w:id="87652960">
          <w:marLeft w:val="274"/>
          <w:marRight w:val="86"/>
          <w:marTop w:val="0"/>
          <w:marBottom w:val="0"/>
          <w:divBdr>
            <w:top w:val="none" w:sz="0" w:space="0" w:color="auto"/>
            <w:left w:val="none" w:sz="0" w:space="0" w:color="auto"/>
            <w:bottom w:val="none" w:sz="0" w:space="0" w:color="auto"/>
            <w:right w:val="none" w:sz="0" w:space="0" w:color="auto"/>
          </w:divBdr>
        </w:div>
        <w:div w:id="95952128">
          <w:marLeft w:val="274"/>
          <w:marRight w:val="86"/>
          <w:marTop w:val="0"/>
          <w:marBottom w:val="0"/>
          <w:divBdr>
            <w:top w:val="none" w:sz="0" w:space="0" w:color="auto"/>
            <w:left w:val="none" w:sz="0" w:space="0" w:color="auto"/>
            <w:bottom w:val="none" w:sz="0" w:space="0" w:color="auto"/>
            <w:right w:val="none" w:sz="0" w:space="0" w:color="auto"/>
          </w:divBdr>
        </w:div>
        <w:div w:id="183591027">
          <w:marLeft w:val="274"/>
          <w:marRight w:val="86"/>
          <w:marTop w:val="0"/>
          <w:marBottom w:val="0"/>
          <w:divBdr>
            <w:top w:val="none" w:sz="0" w:space="0" w:color="auto"/>
            <w:left w:val="none" w:sz="0" w:space="0" w:color="auto"/>
            <w:bottom w:val="none" w:sz="0" w:space="0" w:color="auto"/>
            <w:right w:val="none" w:sz="0" w:space="0" w:color="auto"/>
          </w:divBdr>
        </w:div>
        <w:div w:id="240531643">
          <w:marLeft w:val="274"/>
          <w:marRight w:val="86"/>
          <w:marTop w:val="0"/>
          <w:marBottom w:val="0"/>
          <w:divBdr>
            <w:top w:val="none" w:sz="0" w:space="0" w:color="auto"/>
            <w:left w:val="none" w:sz="0" w:space="0" w:color="auto"/>
            <w:bottom w:val="none" w:sz="0" w:space="0" w:color="auto"/>
            <w:right w:val="none" w:sz="0" w:space="0" w:color="auto"/>
          </w:divBdr>
        </w:div>
        <w:div w:id="261887934">
          <w:marLeft w:val="274"/>
          <w:marRight w:val="86"/>
          <w:marTop w:val="0"/>
          <w:marBottom w:val="0"/>
          <w:divBdr>
            <w:top w:val="none" w:sz="0" w:space="0" w:color="auto"/>
            <w:left w:val="none" w:sz="0" w:space="0" w:color="auto"/>
            <w:bottom w:val="none" w:sz="0" w:space="0" w:color="auto"/>
            <w:right w:val="none" w:sz="0" w:space="0" w:color="auto"/>
          </w:divBdr>
        </w:div>
        <w:div w:id="265306039">
          <w:marLeft w:val="360"/>
          <w:marRight w:val="288"/>
          <w:marTop w:val="0"/>
          <w:marBottom w:val="0"/>
          <w:divBdr>
            <w:top w:val="none" w:sz="0" w:space="0" w:color="auto"/>
            <w:left w:val="none" w:sz="0" w:space="0" w:color="auto"/>
            <w:bottom w:val="none" w:sz="0" w:space="0" w:color="auto"/>
            <w:right w:val="none" w:sz="0" w:space="0" w:color="auto"/>
          </w:divBdr>
        </w:div>
        <w:div w:id="286619842">
          <w:marLeft w:val="274"/>
          <w:marRight w:val="86"/>
          <w:marTop w:val="0"/>
          <w:marBottom w:val="0"/>
          <w:divBdr>
            <w:top w:val="none" w:sz="0" w:space="0" w:color="auto"/>
            <w:left w:val="none" w:sz="0" w:space="0" w:color="auto"/>
            <w:bottom w:val="none" w:sz="0" w:space="0" w:color="auto"/>
            <w:right w:val="none" w:sz="0" w:space="0" w:color="auto"/>
          </w:divBdr>
        </w:div>
        <w:div w:id="290092237">
          <w:marLeft w:val="274"/>
          <w:marRight w:val="86"/>
          <w:marTop w:val="0"/>
          <w:marBottom w:val="0"/>
          <w:divBdr>
            <w:top w:val="none" w:sz="0" w:space="0" w:color="auto"/>
            <w:left w:val="none" w:sz="0" w:space="0" w:color="auto"/>
            <w:bottom w:val="none" w:sz="0" w:space="0" w:color="auto"/>
            <w:right w:val="none" w:sz="0" w:space="0" w:color="auto"/>
          </w:divBdr>
        </w:div>
        <w:div w:id="292369231">
          <w:marLeft w:val="274"/>
          <w:marRight w:val="86"/>
          <w:marTop w:val="0"/>
          <w:marBottom w:val="0"/>
          <w:divBdr>
            <w:top w:val="none" w:sz="0" w:space="0" w:color="auto"/>
            <w:left w:val="none" w:sz="0" w:space="0" w:color="auto"/>
            <w:bottom w:val="none" w:sz="0" w:space="0" w:color="auto"/>
            <w:right w:val="none" w:sz="0" w:space="0" w:color="auto"/>
          </w:divBdr>
        </w:div>
        <w:div w:id="341781109">
          <w:marLeft w:val="274"/>
          <w:marRight w:val="86"/>
          <w:marTop w:val="0"/>
          <w:marBottom w:val="0"/>
          <w:divBdr>
            <w:top w:val="none" w:sz="0" w:space="0" w:color="auto"/>
            <w:left w:val="none" w:sz="0" w:space="0" w:color="auto"/>
            <w:bottom w:val="none" w:sz="0" w:space="0" w:color="auto"/>
            <w:right w:val="none" w:sz="0" w:space="0" w:color="auto"/>
          </w:divBdr>
        </w:div>
        <w:div w:id="409694790">
          <w:marLeft w:val="274"/>
          <w:marRight w:val="86"/>
          <w:marTop w:val="0"/>
          <w:marBottom w:val="0"/>
          <w:divBdr>
            <w:top w:val="none" w:sz="0" w:space="0" w:color="auto"/>
            <w:left w:val="none" w:sz="0" w:space="0" w:color="auto"/>
            <w:bottom w:val="none" w:sz="0" w:space="0" w:color="auto"/>
            <w:right w:val="none" w:sz="0" w:space="0" w:color="auto"/>
          </w:divBdr>
        </w:div>
        <w:div w:id="410195691">
          <w:marLeft w:val="360"/>
          <w:marRight w:val="288"/>
          <w:marTop w:val="0"/>
          <w:marBottom w:val="0"/>
          <w:divBdr>
            <w:top w:val="none" w:sz="0" w:space="0" w:color="auto"/>
            <w:left w:val="none" w:sz="0" w:space="0" w:color="auto"/>
            <w:bottom w:val="none" w:sz="0" w:space="0" w:color="auto"/>
            <w:right w:val="none" w:sz="0" w:space="0" w:color="auto"/>
          </w:divBdr>
        </w:div>
        <w:div w:id="432241101">
          <w:marLeft w:val="360"/>
          <w:marRight w:val="288"/>
          <w:marTop w:val="0"/>
          <w:marBottom w:val="0"/>
          <w:divBdr>
            <w:top w:val="none" w:sz="0" w:space="0" w:color="auto"/>
            <w:left w:val="none" w:sz="0" w:space="0" w:color="auto"/>
            <w:bottom w:val="none" w:sz="0" w:space="0" w:color="auto"/>
            <w:right w:val="none" w:sz="0" w:space="0" w:color="auto"/>
          </w:divBdr>
        </w:div>
        <w:div w:id="516848327">
          <w:marLeft w:val="274"/>
          <w:marRight w:val="86"/>
          <w:marTop w:val="0"/>
          <w:marBottom w:val="0"/>
          <w:divBdr>
            <w:top w:val="none" w:sz="0" w:space="0" w:color="auto"/>
            <w:left w:val="none" w:sz="0" w:space="0" w:color="auto"/>
            <w:bottom w:val="none" w:sz="0" w:space="0" w:color="auto"/>
            <w:right w:val="none" w:sz="0" w:space="0" w:color="auto"/>
          </w:divBdr>
        </w:div>
        <w:div w:id="555432253">
          <w:marLeft w:val="274"/>
          <w:marRight w:val="86"/>
          <w:marTop w:val="0"/>
          <w:marBottom w:val="0"/>
          <w:divBdr>
            <w:top w:val="none" w:sz="0" w:space="0" w:color="auto"/>
            <w:left w:val="none" w:sz="0" w:space="0" w:color="auto"/>
            <w:bottom w:val="none" w:sz="0" w:space="0" w:color="auto"/>
            <w:right w:val="none" w:sz="0" w:space="0" w:color="auto"/>
          </w:divBdr>
        </w:div>
        <w:div w:id="572355724">
          <w:marLeft w:val="274"/>
          <w:marRight w:val="86"/>
          <w:marTop w:val="0"/>
          <w:marBottom w:val="0"/>
          <w:divBdr>
            <w:top w:val="none" w:sz="0" w:space="0" w:color="auto"/>
            <w:left w:val="none" w:sz="0" w:space="0" w:color="auto"/>
            <w:bottom w:val="none" w:sz="0" w:space="0" w:color="auto"/>
            <w:right w:val="none" w:sz="0" w:space="0" w:color="auto"/>
          </w:divBdr>
        </w:div>
        <w:div w:id="670330909">
          <w:marLeft w:val="274"/>
          <w:marRight w:val="86"/>
          <w:marTop w:val="0"/>
          <w:marBottom w:val="0"/>
          <w:divBdr>
            <w:top w:val="none" w:sz="0" w:space="0" w:color="auto"/>
            <w:left w:val="none" w:sz="0" w:space="0" w:color="auto"/>
            <w:bottom w:val="none" w:sz="0" w:space="0" w:color="auto"/>
            <w:right w:val="none" w:sz="0" w:space="0" w:color="auto"/>
          </w:divBdr>
        </w:div>
        <w:div w:id="672877855">
          <w:marLeft w:val="274"/>
          <w:marRight w:val="86"/>
          <w:marTop w:val="0"/>
          <w:marBottom w:val="0"/>
          <w:divBdr>
            <w:top w:val="none" w:sz="0" w:space="0" w:color="auto"/>
            <w:left w:val="none" w:sz="0" w:space="0" w:color="auto"/>
            <w:bottom w:val="none" w:sz="0" w:space="0" w:color="auto"/>
            <w:right w:val="none" w:sz="0" w:space="0" w:color="auto"/>
          </w:divBdr>
        </w:div>
        <w:div w:id="674068361">
          <w:marLeft w:val="274"/>
          <w:marRight w:val="86"/>
          <w:marTop w:val="0"/>
          <w:marBottom w:val="0"/>
          <w:divBdr>
            <w:top w:val="none" w:sz="0" w:space="0" w:color="auto"/>
            <w:left w:val="none" w:sz="0" w:space="0" w:color="auto"/>
            <w:bottom w:val="none" w:sz="0" w:space="0" w:color="auto"/>
            <w:right w:val="none" w:sz="0" w:space="0" w:color="auto"/>
          </w:divBdr>
        </w:div>
        <w:div w:id="683827441">
          <w:marLeft w:val="360"/>
          <w:marRight w:val="288"/>
          <w:marTop w:val="0"/>
          <w:marBottom w:val="0"/>
          <w:divBdr>
            <w:top w:val="none" w:sz="0" w:space="0" w:color="auto"/>
            <w:left w:val="none" w:sz="0" w:space="0" w:color="auto"/>
            <w:bottom w:val="none" w:sz="0" w:space="0" w:color="auto"/>
            <w:right w:val="none" w:sz="0" w:space="0" w:color="auto"/>
          </w:divBdr>
        </w:div>
        <w:div w:id="696586049">
          <w:marLeft w:val="274"/>
          <w:marRight w:val="86"/>
          <w:marTop w:val="0"/>
          <w:marBottom w:val="0"/>
          <w:divBdr>
            <w:top w:val="none" w:sz="0" w:space="0" w:color="auto"/>
            <w:left w:val="none" w:sz="0" w:space="0" w:color="auto"/>
            <w:bottom w:val="none" w:sz="0" w:space="0" w:color="auto"/>
            <w:right w:val="none" w:sz="0" w:space="0" w:color="auto"/>
          </w:divBdr>
        </w:div>
        <w:div w:id="703018044">
          <w:marLeft w:val="274"/>
          <w:marRight w:val="86"/>
          <w:marTop w:val="0"/>
          <w:marBottom w:val="0"/>
          <w:divBdr>
            <w:top w:val="none" w:sz="0" w:space="0" w:color="auto"/>
            <w:left w:val="none" w:sz="0" w:space="0" w:color="auto"/>
            <w:bottom w:val="none" w:sz="0" w:space="0" w:color="auto"/>
            <w:right w:val="none" w:sz="0" w:space="0" w:color="auto"/>
          </w:divBdr>
        </w:div>
        <w:div w:id="713310798">
          <w:marLeft w:val="360"/>
          <w:marRight w:val="288"/>
          <w:marTop w:val="0"/>
          <w:marBottom w:val="0"/>
          <w:divBdr>
            <w:top w:val="none" w:sz="0" w:space="0" w:color="auto"/>
            <w:left w:val="none" w:sz="0" w:space="0" w:color="auto"/>
            <w:bottom w:val="none" w:sz="0" w:space="0" w:color="auto"/>
            <w:right w:val="none" w:sz="0" w:space="0" w:color="auto"/>
          </w:divBdr>
        </w:div>
        <w:div w:id="721638093">
          <w:marLeft w:val="274"/>
          <w:marRight w:val="86"/>
          <w:marTop w:val="0"/>
          <w:marBottom w:val="0"/>
          <w:divBdr>
            <w:top w:val="none" w:sz="0" w:space="0" w:color="auto"/>
            <w:left w:val="none" w:sz="0" w:space="0" w:color="auto"/>
            <w:bottom w:val="none" w:sz="0" w:space="0" w:color="auto"/>
            <w:right w:val="none" w:sz="0" w:space="0" w:color="auto"/>
          </w:divBdr>
        </w:div>
        <w:div w:id="736511462">
          <w:marLeft w:val="274"/>
          <w:marRight w:val="86"/>
          <w:marTop w:val="0"/>
          <w:marBottom w:val="0"/>
          <w:divBdr>
            <w:top w:val="none" w:sz="0" w:space="0" w:color="auto"/>
            <w:left w:val="none" w:sz="0" w:space="0" w:color="auto"/>
            <w:bottom w:val="none" w:sz="0" w:space="0" w:color="auto"/>
            <w:right w:val="none" w:sz="0" w:space="0" w:color="auto"/>
          </w:divBdr>
        </w:div>
        <w:div w:id="793135163">
          <w:marLeft w:val="274"/>
          <w:marRight w:val="86"/>
          <w:marTop w:val="0"/>
          <w:marBottom w:val="0"/>
          <w:divBdr>
            <w:top w:val="none" w:sz="0" w:space="0" w:color="auto"/>
            <w:left w:val="none" w:sz="0" w:space="0" w:color="auto"/>
            <w:bottom w:val="none" w:sz="0" w:space="0" w:color="auto"/>
            <w:right w:val="none" w:sz="0" w:space="0" w:color="auto"/>
          </w:divBdr>
        </w:div>
        <w:div w:id="849948207">
          <w:marLeft w:val="274"/>
          <w:marRight w:val="86"/>
          <w:marTop w:val="0"/>
          <w:marBottom w:val="0"/>
          <w:divBdr>
            <w:top w:val="none" w:sz="0" w:space="0" w:color="auto"/>
            <w:left w:val="none" w:sz="0" w:space="0" w:color="auto"/>
            <w:bottom w:val="none" w:sz="0" w:space="0" w:color="auto"/>
            <w:right w:val="none" w:sz="0" w:space="0" w:color="auto"/>
          </w:divBdr>
        </w:div>
        <w:div w:id="854349181">
          <w:marLeft w:val="274"/>
          <w:marRight w:val="86"/>
          <w:marTop w:val="0"/>
          <w:marBottom w:val="0"/>
          <w:divBdr>
            <w:top w:val="none" w:sz="0" w:space="0" w:color="auto"/>
            <w:left w:val="none" w:sz="0" w:space="0" w:color="auto"/>
            <w:bottom w:val="none" w:sz="0" w:space="0" w:color="auto"/>
            <w:right w:val="none" w:sz="0" w:space="0" w:color="auto"/>
          </w:divBdr>
        </w:div>
        <w:div w:id="931280656">
          <w:marLeft w:val="274"/>
          <w:marRight w:val="86"/>
          <w:marTop w:val="0"/>
          <w:marBottom w:val="0"/>
          <w:divBdr>
            <w:top w:val="none" w:sz="0" w:space="0" w:color="auto"/>
            <w:left w:val="none" w:sz="0" w:space="0" w:color="auto"/>
            <w:bottom w:val="none" w:sz="0" w:space="0" w:color="auto"/>
            <w:right w:val="none" w:sz="0" w:space="0" w:color="auto"/>
          </w:divBdr>
        </w:div>
        <w:div w:id="953286751">
          <w:marLeft w:val="274"/>
          <w:marRight w:val="86"/>
          <w:marTop w:val="0"/>
          <w:marBottom w:val="0"/>
          <w:divBdr>
            <w:top w:val="none" w:sz="0" w:space="0" w:color="auto"/>
            <w:left w:val="none" w:sz="0" w:space="0" w:color="auto"/>
            <w:bottom w:val="none" w:sz="0" w:space="0" w:color="auto"/>
            <w:right w:val="none" w:sz="0" w:space="0" w:color="auto"/>
          </w:divBdr>
        </w:div>
        <w:div w:id="970284476">
          <w:marLeft w:val="274"/>
          <w:marRight w:val="86"/>
          <w:marTop w:val="0"/>
          <w:marBottom w:val="0"/>
          <w:divBdr>
            <w:top w:val="none" w:sz="0" w:space="0" w:color="auto"/>
            <w:left w:val="none" w:sz="0" w:space="0" w:color="auto"/>
            <w:bottom w:val="none" w:sz="0" w:space="0" w:color="auto"/>
            <w:right w:val="none" w:sz="0" w:space="0" w:color="auto"/>
          </w:divBdr>
        </w:div>
        <w:div w:id="991838429">
          <w:marLeft w:val="274"/>
          <w:marRight w:val="86"/>
          <w:marTop w:val="0"/>
          <w:marBottom w:val="0"/>
          <w:divBdr>
            <w:top w:val="none" w:sz="0" w:space="0" w:color="auto"/>
            <w:left w:val="none" w:sz="0" w:space="0" w:color="auto"/>
            <w:bottom w:val="none" w:sz="0" w:space="0" w:color="auto"/>
            <w:right w:val="none" w:sz="0" w:space="0" w:color="auto"/>
          </w:divBdr>
        </w:div>
        <w:div w:id="996615562">
          <w:marLeft w:val="274"/>
          <w:marRight w:val="86"/>
          <w:marTop w:val="0"/>
          <w:marBottom w:val="0"/>
          <w:divBdr>
            <w:top w:val="none" w:sz="0" w:space="0" w:color="auto"/>
            <w:left w:val="none" w:sz="0" w:space="0" w:color="auto"/>
            <w:bottom w:val="none" w:sz="0" w:space="0" w:color="auto"/>
            <w:right w:val="none" w:sz="0" w:space="0" w:color="auto"/>
          </w:divBdr>
        </w:div>
        <w:div w:id="997540471">
          <w:marLeft w:val="274"/>
          <w:marRight w:val="86"/>
          <w:marTop w:val="0"/>
          <w:marBottom w:val="0"/>
          <w:divBdr>
            <w:top w:val="none" w:sz="0" w:space="0" w:color="auto"/>
            <w:left w:val="none" w:sz="0" w:space="0" w:color="auto"/>
            <w:bottom w:val="none" w:sz="0" w:space="0" w:color="auto"/>
            <w:right w:val="none" w:sz="0" w:space="0" w:color="auto"/>
          </w:divBdr>
        </w:div>
        <w:div w:id="997853364">
          <w:marLeft w:val="274"/>
          <w:marRight w:val="86"/>
          <w:marTop w:val="0"/>
          <w:marBottom w:val="0"/>
          <w:divBdr>
            <w:top w:val="none" w:sz="0" w:space="0" w:color="auto"/>
            <w:left w:val="none" w:sz="0" w:space="0" w:color="auto"/>
            <w:bottom w:val="none" w:sz="0" w:space="0" w:color="auto"/>
            <w:right w:val="none" w:sz="0" w:space="0" w:color="auto"/>
          </w:divBdr>
        </w:div>
        <w:div w:id="998920768">
          <w:marLeft w:val="274"/>
          <w:marRight w:val="0"/>
          <w:marTop w:val="0"/>
          <w:marBottom w:val="0"/>
          <w:divBdr>
            <w:top w:val="none" w:sz="0" w:space="0" w:color="auto"/>
            <w:left w:val="none" w:sz="0" w:space="0" w:color="auto"/>
            <w:bottom w:val="none" w:sz="0" w:space="0" w:color="auto"/>
            <w:right w:val="none" w:sz="0" w:space="0" w:color="auto"/>
          </w:divBdr>
        </w:div>
        <w:div w:id="1020014921">
          <w:marLeft w:val="274"/>
          <w:marRight w:val="86"/>
          <w:marTop w:val="0"/>
          <w:marBottom w:val="0"/>
          <w:divBdr>
            <w:top w:val="none" w:sz="0" w:space="0" w:color="auto"/>
            <w:left w:val="none" w:sz="0" w:space="0" w:color="auto"/>
            <w:bottom w:val="none" w:sz="0" w:space="0" w:color="auto"/>
            <w:right w:val="none" w:sz="0" w:space="0" w:color="auto"/>
          </w:divBdr>
        </w:div>
        <w:div w:id="1069496603">
          <w:marLeft w:val="274"/>
          <w:marRight w:val="86"/>
          <w:marTop w:val="0"/>
          <w:marBottom w:val="0"/>
          <w:divBdr>
            <w:top w:val="none" w:sz="0" w:space="0" w:color="auto"/>
            <w:left w:val="none" w:sz="0" w:space="0" w:color="auto"/>
            <w:bottom w:val="none" w:sz="0" w:space="0" w:color="auto"/>
            <w:right w:val="none" w:sz="0" w:space="0" w:color="auto"/>
          </w:divBdr>
        </w:div>
        <w:div w:id="1084766017">
          <w:marLeft w:val="274"/>
          <w:marRight w:val="86"/>
          <w:marTop w:val="0"/>
          <w:marBottom w:val="0"/>
          <w:divBdr>
            <w:top w:val="none" w:sz="0" w:space="0" w:color="auto"/>
            <w:left w:val="none" w:sz="0" w:space="0" w:color="auto"/>
            <w:bottom w:val="none" w:sz="0" w:space="0" w:color="auto"/>
            <w:right w:val="none" w:sz="0" w:space="0" w:color="auto"/>
          </w:divBdr>
        </w:div>
        <w:div w:id="1085882843">
          <w:marLeft w:val="274"/>
          <w:marRight w:val="86"/>
          <w:marTop w:val="0"/>
          <w:marBottom w:val="0"/>
          <w:divBdr>
            <w:top w:val="none" w:sz="0" w:space="0" w:color="auto"/>
            <w:left w:val="none" w:sz="0" w:space="0" w:color="auto"/>
            <w:bottom w:val="none" w:sz="0" w:space="0" w:color="auto"/>
            <w:right w:val="none" w:sz="0" w:space="0" w:color="auto"/>
          </w:divBdr>
        </w:div>
        <w:div w:id="1090350375">
          <w:marLeft w:val="274"/>
          <w:marRight w:val="86"/>
          <w:marTop w:val="0"/>
          <w:marBottom w:val="0"/>
          <w:divBdr>
            <w:top w:val="none" w:sz="0" w:space="0" w:color="auto"/>
            <w:left w:val="none" w:sz="0" w:space="0" w:color="auto"/>
            <w:bottom w:val="none" w:sz="0" w:space="0" w:color="auto"/>
            <w:right w:val="none" w:sz="0" w:space="0" w:color="auto"/>
          </w:divBdr>
        </w:div>
        <w:div w:id="1137991047">
          <w:marLeft w:val="360"/>
          <w:marRight w:val="288"/>
          <w:marTop w:val="0"/>
          <w:marBottom w:val="0"/>
          <w:divBdr>
            <w:top w:val="none" w:sz="0" w:space="0" w:color="auto"/>
            <w:left w:val="none" w:sz="0" w:space="0" w:color="auto"/>
            <w:bottom w:val="none" w:sz="0" w:space="0" w:color="auto"/>
            <w:right w:val="none" w:sz="0" w:space="0" w:color="auto"/>
          </w:divBdr>
        </w:div>
        <w:div w:id="1193953469">
          <w:marLeft w:val="274"/>
          <w:marRight w:val="86"/>
          <w:marTop w:val="0"/>
          <w:marBottom w:val="0"/>
          <w:divBdr>
            <w:top w:val="none" w:sz="0" w:space="0" w:color="auto"/>
            <w:left w:val="none" w:sz="0" w:space="0" w:color="auto"/>
            <w:bottom w:val="none" w:sz="0" w:space="0" w:color="auto"/>
            <w:right w:val="none" w:sz="0" w:space="0" w:color="auto"/>
          </w:divBdr>
        </w:div>
        <w:div w:id="1233201275">
          <w:marLeft w:val="274"/>
          <w:marRight w:val="86"/>
          <w:marTop w:val="0"/>
          <w:marBottom w:val="0"/>
          <w:divBdr>
            <w:top w:val="none" w:sz="0" w:space="0" w:color="auto"/>
            <w:left w:val="none" w:sz="0" w:space="0" w:color="auto"/>
            <w:bottom w:val="none" w:sz="0" w:space="0" w:color="auto"/>
            <w:right w:val="none" w:sz="0" w:space="0" w:color="auto"/>
          </w:divBdr>
        </w:div>
        <w:div w:id="1233463624">
          <w:marLeft w:val="274"/>
          <w:marRight w:val="86"/>
          <w:marTop w:val="0"/>
          <w:marBottom w:val="0"/>
          <w:divBdr>
            <w:top w:val="none" w:sz="0" w:space="0" w:color="auto"/>
            <w:left w:val="none" w:sz="0" w:space="0" w:color="auto"/>
            <w:bottom w:val="none" w:sz="0" w:space="0" w:color="auto"/>
            <w:right w:val="none" w:sz="0" w:space="0" w:color="auto"/>
          </w:divBdr>
        </w:div>
        <w:div w:id="1236163459">
          <w:marLeft w:val="274"/>
          <w:marRight w:val="86"/>
          <w:marTop w:val="0"/>
          <w:marBottom w:val="0"/>
          <w:divBdr>
            <w:top w:val="none" w:sz="0" w:space="0" w:color="auto"/>
            <w:left w:val="none" w:sz="0" w:space="0" w:color="auto"/>
            <w:bottom w:val="none" w:sz="0" w:space="0" w:color="auto"/>
            <w:right w:val="none" w:sz="0" w:space="0" w:color="auto"/>
          </w:divBdr>
        </w:div>
        <w:div w:id="1241910103">
          <w:marLeft w:val="274"/>
          <w:marRight w:val="86"/>
          <w:marTop w:val="0"/>
          <w:marBottom w:val="0"/>
          <w:divBdr>
            <w:top w:val="none" w:sz="0" w:space="0" w:color="auto"/>
            <w:left w:val="none" w:sz="0" w:space="0" w:color="auto"/>
            <w:bottom w:val="none" w:sz="0" w:space="0" w:color="auto"/>
            <w:right w:val="none" w:sz="0" w:space="0" w:color="auto"/>
          </w:divBdr>
        </w:div>
        <w:div w:id="1284534146">
          <w:marLeft w:val="274"/>
          <w:marRight w:val="86"/>
          <w:marTop w:val="0"/>
          <w:marBottom w:val="0"/>
          <w:divBdr>
            <w:top w:val="none" w:sz="0" w:space="0" w:color="auto"/>
            <w:left w:val="none" w:sz="0" w:space="0" w:color="auto"/>
            <w:bottom w:val="none" w:sz="0" w:space="0" w:color="auto"/>
            <w:right w:val="none" w:sz="0" w:space="0" w:color="auto"/>
          </w:divBdr>
        </w:div>
        <w:div w:id="1294360607">
          <w:marLeft w:val="274"/>
          <w:marRight w:val="86"/>
          <w:marTop w:val="0"/>
          <w:marBottom w:val="0"/>
          <w:divBdr>
            <w:top w:val="none" w:sz="0" w:space="0" w:color="auto"/>
            <w:left w:val="none" w:sz="0" w:space="0" w:color="auto"/>
            <w:bottom w:val="none" w:sz="0" w:space="0" w:color="auto"/>
            <w:right w:val="none" w:sz="0" w:space="0" w:color="auto"/>
          </w:divBdr>
        </w:div>
        <w:div w:id="1309939313">
          <w:marLeft w:val="274"/>
          <w:marRight w:val="86"/>
          <w:marTop w:val="0"/>
          <w:marBottom w:val="0"/>
          <w:divBdr>
            <w:top w:val="none" w:sz="0" w:space="0" w:color="auto"/>
            <w:left w:val="none" w:sz="0" w:space="0" w:color="auto"/>
            <w:bottom w:val="none" w:sz="0" w:space="0" w:color="auto"/>
            <w:right w:val="none" w:sz="0" w:space="0" w:color="auto"/>
          </w:divBdr>
        </w:div>
        <w:div w:id="1313289202">
          <w:marLeft w:val="274"/>
          <w:marRight w:val="86"/>
          <w:marTop w:val="0"/>
          <w:marBottom w:val="0"/>
          <w:divBdr>
            <w:top w:val="none" w:sz="0" w:space="0" w:color="auto"/>
            <w:left w:val="none" w:sz="0" w:space="0" w:color="auto"/>
            <w:bottom w:val="none" w:sz="0" w:space="0" w:color="auto"/>
            <w:right w:val="none" w:sz="0" w:space="0" w:color="auto"/>
          </w:divBdr>
        </w:div>
        <w:div w:id="1323269016">
          <w:marLeft w:val="274"/>
          <w:marRight w:val="86"/>
          <w:marTop w:val="0"/>
          <w:marBottom w:val="0"/>
          <w:divBdr>
            <w:top w:val="none" w:sz="0" w:space="0" w:color="auto"/>
            <w:left w:val="none" w:sz="0" w:space="0" w:color="auto"/>
            <w:bottom w:val="none" w:sz="0" w:space="0" w:color="auto"/>
            <w:right w:val="none" w:sz="0" w:space="0" w:color="auto"/>
          </w:divBdr>
        </w:div>
        <w:div w:id="1358237908">
          <w:marLeft w:val="274"/>
          <w:marRight w:val="86"/>
          <w:marTop w:val="0"/>
          <w:marBottom w:val="0"/>
          <w:divBdr>
            <w:top w:val="none" w:sz="0" w:space="0" w:color="auto"/>
            <w:left w:val="none" w:sz="0" w:space="0" w:color="auto"/>
            <w:bottom w:val="none" w:sz="0" w:space="0" w:color="auto"/>
            <w:right w:val="none" w:sz="0" w:space="0" w:color="auto"/>
          </w:divBdr>
        </w:div>
        <w:div w:id="1404372350">
          <w:marLeft w:val="274"/>
          <w:marRight w:val="86"/>
          <w:marTop w:val="0"/>
          <w:marBottom w:val="0"/>
          <w:divBdr>
            <w:top w:val="none" w:sz="0" w:space="0" w:color="auto"/>
            <w:left w:val="none" w:sz="0" w:space="0" w:color="auto"/>
            <w:bottom w:val="none" w:sz="0" w:space="0" w:color="auto"/>
            <w:right w:val="none" w:sz="0" w:space="0" w:color="auto"/>
          </w:divBdr>
        </w:div>
        <w:div w:id="1418667990">
          <w:marLeft w:val="274"/>
          <w:marRight w:val="86"/>
          <w:marTop w:val="0"/>
          <w:marBottom w:val="0"/>
          <w:divBdr>
            <w:top w:val="none" w:sz="0" w:space="0" w:color="auto"/>
            <w:left w:val="none" w:sz="0" w:space="0" w:color="auto"/>
            <w:bottom w:val="none" w:sz="0" w:space="0" w:color="auto"/>
            <w:right w:val="none" w:sz="0" w:space="0" w:color="auto"/>
          </w:divBdr>
        </w:div>
        <w:div w:id="1434589684">
          <w:marLeft w:val="360"/>
          <w:marRight w:val="288"/>
          <w:marTop w:val="0"/>
          <w:marBottom w:val="0"/>
          <w:divBdr>
            <w:top w:val="none" w:sz="0" w:space="0" w:color="auto"/>
            <w:left w:val="none" w:sz="0" w:space="0" w:color="auto"/>
            <w:bottom w:val="none" w:sz="0" w:space="0" w:color="auto"/>
            <w:right w:val="none" w:sz="0" w:space="0" w:color="auto"/>
          </w:divBdr>
        </w:div>
        <w:div w:id="1567690054">
          <w:marLeft w:val="274"/>
          <w:marRight w:val="86"/>
          <w:marTop w:val="0"/>
          <w:marBottom w:val="0"/>
          <w:divBdr>
            <w:top w:val="none" w:sz="0" w:space="0" w:color="auto"/>
            <w:left w:val="none" w:sz="0" w:space="0" w:color="auto"/>
            <w:bottom w:val="none" w:sz="0" w:space="0" w:color="auto"/>
            <w:right w:val="none" w:sz="0" w:space="0" w:color="auto"/>
          </w:divBdr>
        </w:div>
        <w:div w:id="1572740823">
          <w:marLeft w:val="274"/>
          <w:marRight w:val="86"/>
          <w:marTop w:val="0"/>
          <w:marBottom w:val="0"/>
          <w:divBdr>
            <w:top w:val="none" w:sz="0" w:space="0" w:color="auto"/>
            <w:left w:val="none" w:sz="0" w:space="0" w:color="auto"/>
            <w:bottom w:val="none" w:sz="0" w:space="0" w:color="auto"/>
            <w:right w:val="none" w:sz="0" w:space="0" w:color="auto"/>
          </w:divBdr>
        </w:div>
        <w:div w:id="1578439994">
          <w:marLeft w:val="274"/>
          <w:marRight w:val="86"/>
          <w:marTop w:val="0"/>
          <w:marBottom w:val="0"/>
          <w:divBdr>
            <w:top w:val="none" w:sz="0" w:space="0" w:color="auto"/>
            <w:left w:val="none" w:sz="0" w:space="0" w:color="auto"/>
            <w:bottom w:val="none" w:sz="0" w:space="0" w:color="auto"/>
            <w:right w:val="none" w:sz="0" w:space="0" w:color="auto"/>
          </w:divBdr>
        </w:div>
        <w:div w:id="1604649647">
          <w:marLeft w:val="274"/>
          <w:marRight w:val="86"/>
          <w:marTop w:val="0"/>
          <w:marBottom w:val="0"/>
          <w:divBdr>
            <w:top w:val="none" w:sz="0" w:space="0" w:color="auto"/>
            <w:left w:val="none" w:sz="0" w:space="0" w:color="auto"/>
            <w:bottom w:val="none" w:sz="0" w:space="0" w:color="auto"/>
            <w:right w:val="none" w:sz="0" w:space="0" w:color="auto"/>
          </w:divBdr>
        </w:div>
        <w:div w:id="1620255326">
          <w:marLeft w:val="274"/>
          <w:marRight w:val="86"/>
          <w:marTop w:val="0"/>
          <w:marBottom w:val="0"/>
          <w:divBdr>
            <w:top w:val="none" w:sz="0" w:space="0" w:color="auto"/>
            <w:left w:val="none" w:sz="0" w:space="0" w:color="auto"/>
            <w:bottom w:val="none" w:sz="0" w:space="0" w:color="auto"/>
            <w:right w:val="none" w:sz="0" w:space="0" w:color="auto"/>
          </w:divBdr>
        </w:div>
        <w:div w:id="1625960727">
          <w:marLeft w:val="274"/>
          <w:marRight w:val="86"/>
          <w:marTop w:val="0"/>
          <w:marBottom w:val="0"/>
          <w:divBdr>
            <w:top w:val="none" w:sz="0" w:space="0" w:color="auto"/>
            <w:left w:val="none" w:sz="0" w:space="0" w:color="auto"/>
            <w:bottom w:val="none" w:sz="0" w:space="0" w:color="auto"/>
            <w:right w:val="none" w:sz="0" w:space="0" w:color="auto"/>
          </w:divBdr>
        </w:div>
        <w:div w:id="1644773314">
          <w:marLeft w:val="274"/>
          <w:marRight w:val="86"/>
          <w:marTop w:val="0"/>
          <w:marBottom w:val="0"/>
          <w:divBdr>
            <w:top w:val="none" w:sz="0" w:space="0" w:color="auto"/>
            <w:left w:val="none" w:sz="0" w:space="0" w:color="auto"/>
            <w:bottom w:val="none" w:sz="0" w:space="0" w:color="auto"/>
            <w:right w:val="none" w:sz="0" w:space="0" w:color="auto"/>
          </w:divBdr>
        </w:div>
        <w:div w:id="1650136852">
          <w:marLeft w:val="274"/>
          <w:marRight w:val="86"/>
          <w:marTop w:val="0"/>
          <w:marBottom w:val="0"/>
          <w:divBdr>
            <w:top w:val="none" w:sz="0" w:space="0" w:color="auto"/>
            <w:left w:val="none" w:sz="0" w:space="0" w:color="auto"/>
            <w:bottom w:val="none" w:sz="0" w:space="0" w:color="auto"/>
            <w:right w:val="none" w:sz="0" w:space="0" w:color="auto"/>
          </w:divBdr>
        </w:div>
        <w:div w:id="1651983724">
          <w:marLeft w:val="274"/>
          <w:marRight w:val="86"/>
          <w:marTop w:val="0"/>
          <w:marBottom w:val="0"/>
          <w:divBdr>
            <w:top w:val="none" w:sz="0" w:space="0" w:color="auto"/>
            <w:left w:val="none" w:sz="0" w:space="0" w:color="auto"/>
            <w:bottom w:val="none" w:sz="0" w:space="0" w:color="auto"/>
            <w:right w:val="none" w:sz="0" w:space="0" w:color="auto"/>
          </w:divBdr>
        </w:div>
        <w:div w:id="1659914906">
          <w:marLeft w:val="274"/>
          <w:marRight w:val="86"/>
          <w:marTop w:val="0"/>
          <w:marBottom w:val="0"/>
          <w:divBdr>
            <w:top w:val="none" w:sz="0" w:space="0" w:color="auto"/>
            <w:left w:val="none" w:sz="0" w:space="0" w:color="auto"/>
            <w:bottom w:val="none" w:sz="0" w:space="0" w:color="auto"/>
            <w:right w:val="none" w:sz="0" w:space="0" w:color="auto"/>
          </w:divBdr>
        </w:div>
        <w:div w:id="1678651889">
          <w:marLeft w:val="274"/>
          <w:marRight w:val="86"/>
          <w:marTop w:val="0"/>
          <w:marBottom w:val="0"/>
          <w:divBdr>
            <w:top w:val="none" w:sz="0" w:space="0" w:color="auto"/>
            <w:left w:val="none" w:sz="0" w:space="0" w:color="auto"/>
            <w:bottom w:val="none" w:sz="0" w:space="0" w:color="auto"/>
            <w:right w:val="none" w:sz="0" w:space="0" w:color="auto"/>
          </w:divBdr>
        </w:div>
        <w:div w:id="1690638212">
          <w:marLeft w:val="274"/>
          <w:marRight w:val="86"/>
          <w:marTop w:val="0"/>
          <w:marBottom w:val="0"/>
          <w:divBdr>
            <w:top w:val="none" w:sz="0" w:space="0" w:color="auto"/>
            <w:left w:val="none" w:sz="0" w:space="0" w:color="auto"/>
            <w:bottom w:val="none" w:sz="0" w:space="0" w:color="auto"/>
            <w:right w:val="none" w:sz="0" w:space="0" w:color="auto"/>
          </w:divBdr>
        </w:div>
        <w:div w:id="1708682053">
          <w:marLeft w:val="274"/>
          <w:marRight w:val="86"/>
          <w:marTop w:val="0"/>
          <w:marBottom w:val="0"/>
          <w:divBdr>
            <w:top w:val="none" w:sz="0" w:space="0" w:color="auto"/>
            <w:left w:val="none" w:sz="0" w:space="0" w:color="auto"/>
            <w:bottom w:val="none" w:sz="0" w:space="0" w:color="auto"/>
            <w:right w:val="none" w:sz="0" w:space="0" w:color="auto"/>
          </w:divBdr>
        </w:div>
        <w:div w:id="1735809561">
          <w:marLeft w:val="360"/>
          <w:marRight w:val="288"/>
          <w:marTop w:val="0"/>
          <w:marBottom w:val="0"/>
          <w:divBdr>
            <w:top w:val="none" w:sz="0" w:space="0" w:color="auto"/>
            <w:left w:val="none" w:sz="0" w:space="0" w:color="auto"/>
            <w:bottom w:val="none" w:sz="0" w:space="0" w:color="auto"/>
            <w:right w:val="none" w:sz="0" w:space="0" w:color="auto"/>
          </w:divBdr>
        </w:div>
        <w:div w:id="1804151725">
          <w:marLeft w:val="274"/>
          <w:marRight w:val="86"/>
          <w:marTop w:val="0"/>
          <w:marBottom w:val="0"/>
          <w:divBdr>
            <w:top w:val="none" w:sz="0" w:space="0" w:color="auto"/>
            <w:left w:val="none" w:sz="0" w:space="0" w:color="auto"/>
            <w:bottom w:val="none" w:sz="0" w:space="0" w:color="auto"/>
            <w:right w:val="none" w:sz="0" w:space="0" w:color="auto"/>
          </w:divBdr>
        </w:div>
        <w:div w:id="1807309849">
          <w:marLeft w:val="274"/>
          <w:marRight w:val="86"/>
          <w:marTop w:val="0"/>
          <w:marBottom w:val="0"/>
          <w:divBdr>
            <w:top w:val="none" w:sz="0" w:space="0" w:color="auto"/>
            <w:left w:val="none" w:sz="0" w:space="0" w:color="auto"/>
            <w:bottom w:val="none" w:sz="0" w:space="0" w:color="auto"/>
            <w:right w:val="none" w:sz="0" w:space="0" w:color="auto"/>
          </w:divBdr>
        </w:div>
        <w:div w:id="1847399580">
          <w:marLeft w:val="274"/>
          <w:marRight w:val="86"/>
          <w:marTop w:val="0"/>
          <w:marBottom w:val="0"/>
          <w:divBdr>
            <w:top w:val="none" w:sz="0" w:space="0" w:color="auto"/>
            <w:left w:val="none" w:sz="0" w:space="0" w:color="auto"/>
            <w:bottom w:val="none" w:sz="0" w:space="0" w:color="auto"/>
            <w:right w:val="none" w:sz="0" w:space="0" w:color="auto"/>
          </w:divBdr>
        </w:div>
        <w:div w:id="1850292738">
          <w:marLeft w:val="274"/>
          <w:marRight w:val="0"/>
          <w:marTop w:val="0"/>
          <w:marBottom w:val="0"/>
          <w:divBdr>
            <w:top w:val="none" w:sz="0" w:space="0" w:color="auto"/>
            <w:left w:val="none" w:sz="0" w:space="0" w:color="auto"/>
            <w:bottom w:val="none" w:sz="0" w:space="0" w:color="auto"/>
            <w:right w:val="none" w:sz="0" w:space="0" w:color="auto"/>
          </w:divBdr>
        </w:div>
        <w:div w:id="1885561472">
          <w:marLeft w:val="274"/>
          <w:marRight w:val="86"/>
          <w:marTop w:val="0"/>
          <w:marBottom w:val="0"/>
          <w:divBdr>
            <w:top w:val="none" w:sz="0" w:space="0" w:color="auto"/>
            <w:left w:val="none" w:sz="0" w:space="0" w:color="auto"/>
            <w:bottom w:val="none" w:sz="0" w:space="0" w:color="auto"/>
            <w:right w:val="none" w:sz="0" w:space="0" w:color="auto"/>
          </w:divBdr>
        </w:div>
        <w:div w:id="1894922679">
          <w:marLeft w:val="360"/>
          <w:marRight w:val="288"/>
          <w:marTop w:val="0"/>
          <w:marBottom w:val="0"/>
          <w:divBdr>
            <w:top w:val="none" w:sz="0" w:space="0" w:color="auto"/>
            <w:left w:val="none" w:sz="0" w:space="0" w:color="auto"/>
            <w:bottom w:val="none" w:sz="0" w:space="0" w:color="auto"/>
            <w:right w:val="none" w:sz="0" w:space="0" w:color="auto"/>
          </w:divBdr>
        </w:div>
        <w:div w:id="1908374409">
          <w:marLeft w:val="360"/>
          <w:marRight w:val="288"/>
          <w:marTop w:val="0"/>
          <w:marBottom w:val="0"/>
          <w:divBdr>
            <w:top w:val="none" w:sz="0" w:space="0" w:color="auto"/>
            <w:left w:val="none" w:sz="0" w:space="0" w:color="auto"/>
            <w:bottom w:val="none" w:sz="0" w:space="0" w:color="auto"/>
            <w:right w:val="none" w:sz="0" w:space="0" w:color="auto"/>
          </w:divBdr>
        </w:div>
        <w:div w:id="1929847321">
          <w:marLeft w:val="360"/>
          <w:marRight w:val="288"/>
          <w:marTop w:val="0"/>
          <w:marBottom w:val="0"/>
          <w:divBdr>
            <w:top w:val="none" w:sz="0" w:space="0" w:color="auto"/>
            <w:left w:val="none" w:sz="0" w:space="0" w:color="auto"/>
            <w:bottom w:val="none" w:sz="0" w:space="0" w:color="auto"/>
            <w:right w:val="none" w:sz="0" w:space="0" w:color="auto"/>
          </w:divBdr>
        </w:div>
        <w:div w:id="1929851207">
          <w:marLeft w:val="274"/>
          <w:marRight w:val="86"/>
          <w:marTop w:val="0"/>
          <w:marBottom w:val="0"/>
          <w:divBdr>
            <w:top w:val="none" w:sz="0" w:space="0" w:color="auto"/>
            <w:left w:val="none" w:sz="0" w:space="0" w:color="auto"/>
            <w:bottom w:val="none" w:sz="0" w:space="0" w:color="auto"/>
            <w:right w:val="none" w:sz="0" w:space="0" w:color="auto"/>
          </w:divBdr>
        </w:div>
        <w:div w:id="1933321817">
          <w:marLeft w:val="274"/>
          <w:marRight w:val="86"/>
          <w:marTop w:val="0"/>
          <w:marBottom w:val="0"/>
          <w:divBdr>
            <w:top w:val="none" w:sz="0" w:space="0" w:color="auto"/>
            <w:left w:val="none" w:sz="0" w:space="0" w:color="auto"/>
            <w:bottom w:val="none" w:sz="0" w:space="0" w:color="auto"/>
            <w:right w:val="none" w:sz="0" w:space="0" w:color="auto"/>
          </w:divBdr>
        </w:div>
        <w:div w:id="1936009780">
          <w:marLeft w:val="274"/>
          <w:marRight w:val="86"/>
          <w:marTop w:val="0"/>
          <w:marBottom w:val="0"/>
          <w:divBdr>
            <w:top w:val="none" w:sz="0" w:space="0" w:color="auto"/>
            <w:left w:val="none" w:sz="0" w:space="0" w:color="auto"/>
            <w:bottom w:val="none" w:sz="0" w:space="0" w:color="auto"/>
            <w:right w:val="none" w:sz="0" w:space="0" w:color="auto"/>
          </w:divBdr>
        </w:div>
        <w:div w:id="1939101288">
          <w:marLeft w:val="274"/>
          <w:marRight w:val="86"/>
          <w:marTop w:val="0"/>
          <w:marBottom w:val="0"/>
          <w:divBdr>
            <w:top w:val="none" w:sz="0" w:space="0" w:color="auto"/>
            <w:left w:val="none" w:sz="0" w:space="0" w:color="auto"/>
            <w:bottom w:val="none" w:sz="0" w:space="0" w:color="auto"/>
            <w:right w:val="none" w:sz="0" w:space="0" w:color="auto"/>
          </w:divBdr>
        </w:div>
        <w:div w:id="2013146204">
          <w:marLeft w:val="360"/>
          <w:marRight w:val="288"/>
          <w:marTop w:val="0"/>
          <w:marBottom w:val="0"/>
          <w:divBdr>
            <w:top w:val="none" w:sz="0" w:space="0" w:color="auto"/>
            <w:left w:val="none" w:sz="0" w:space="0" w:color="auto"/>
            <w:bottom w:val="none" w:sz="0" w:space="0" w:color="auto"/>
            <w:right w:val="none" w:sz="0" w:space="0" w:color="auto"/>
          </w:divBdr>
        </w:div>
        <w:div w:id="2043163887">
          <w:marLeft w:val="274"/>
          <w:marRight w:val="86"/>
          <w:marTop w:val="0"/>
          <w:marBottom w:val="0"/>
          <w:divBdr>
            <w:top w:val="none" w:sz="0" w:space="0" w:color="auto"/>
            <w:left w:val="none" w:sz="0" w:space="0" w:color="auto"/>
            <w:bottom w:val="none" w:sz="0" w:space="0" w:color="auto"/>
            <w:right w:val="none" w:sz="0" w:space="0" w:color="auto"/>
          </w:divBdr>
        </w:div>
        <w:div w:id="2043743666">
          <w:marLeft w:val="274"/>
          <w:marRight w:val="86"/>
          <w:marTop w:val="0"/>
          <w:marBottom w:val="0"/>
          <w:divBdr>
            <w:top w:val="none" w:sz="0" w:space="0" w:color="auto"/>
            <w:left w:val="none" w:sz="0" w:space="0" w:color="auto"/>
            <w:bottom w:val="none" w:sz="0" w:space="0" w:color="auto"/>
            <w:right w:val="none" w:sz="0" w:space="0" w:color="auto"/>
          </w:divBdr>
        </w:div>
        <w:div w:id="2044819310">
          <w:marLeft w:val="274"/>
          <w:marRight w:val="0"/>
          <w:marTop w:val="0"/>
          <w:marBottom w:val="0"/>
          <w:divBdr>
            <w:top w:val="none" w:sz="0" w:space="0" w:color="auto"/>
            <w:left w:val="none" w:sz="0" w:space="0" w:color="auto"/>
            <w:bottom w:val="none" w:sz="0" w:space="0" w:color="auto"/>
            <w:right w:val="none" w:sz="0" w:space="0" w:color="auto"/>
          </w:divBdr>
        </w:div>
        <w:div w:id="2063673097">
          <w:marLeft w:val="274"/>
          <w:marRight w:val="86"/>
          <w:marTop w:val="0"/>
          <w:marBottom w:val="0"/>
          <w:divBdr>
            <w:top w:val="none" w:sz="0" w:space="0" w:color="auto"/>
            <w:left w:val="none" w:sz="0" w:space="0" w:color="auto"/>
            <w:bottom w:val="none" w:sz="0" w:space="0" w:color="auto"/>
            <w:right w:val="none" w:sz="0" w:space="0" w:color="auto"/>
          </w:divBdr>
        </w:div>
        <w:div w:id="2096051788">
          <w:marLeft w:val="274"/>
          <w:marRight w:val="0"/>
          <w:marTop w:val="0"/>
          <w:marBottom w:val="0"/>
          <w:divBdr>
            <w:top w:val="none" w:sz="0" w:space="0" w:color="auto"/>
            <w:left w:val="none" w:sz="0" w:space="0" w:color="auto"/>
            <w:bottom w:val="none" w:sz="0" w:space="0" w:color="auto"/>
            <w:right w:val="none" w:sz="0" w:space="0" w:color="auto"/>
          </w:divBdr>
        </w:div>
        <w:div w:id="2096777464">
          <w:marLeft w:val="360"/>
          <w:marRight w:val="288"/>
          <w:marTop w:val="0"/>
          <w:marBottom w:val="0"/>
          <w:divBdr>
            <w:top w:val="none" w:sz="0" w:space="0" w:color="auto"/>
            <w:left w:val="none" w:sz="0" w:space="0" w:color="auto"/>
            <w:bottom w:val="none" w:sz="0" w:space="0" w:color="auto"/>
            <w:right w:val="none" w:sz="0" w:space="0" w:color="auto"/>
          </w:divBdr>
        </w:div>
        <w:div w:id="2103866105">
          <w:marLeft w:val="274"/>
          <w:marRight w:val="86"/>
          <w:marTop w:val="0"/>
          <w:marBottom w:val="0"/>
          <w:divBdr>
            <w:top w:val="none" w:sz="0" w:space="0" w:color="auto"/>
            <w:left w:val="none" w:sz="0" w:space="0" w:color="auto"/>
            <w:bottom w:val="none" w:sz="0" w:space="0" w:color="auto"/>
            <w:right w:val="none" w:sz="0" w:space="0" w:color="auto"/>
          </w:divBdr>
        </w:div>
        <w:div w:id="2129469533">
          <w:marLeft w:val="274"/>
          <w:marRight w:val="86"/>
          <w:marTop w:val="0"/>
          <w:marBottom w:val="0"/>
          <w:divBdr>
            <w:top w:val="none" w:sz="0" w:space="0" w:color="auto"/>
            <w:left w:val="none" w:sz="0" w:space="0" w:color="auto"/>
            <w:bottom w:val="none" w:sz="0" w:space="0" w:color="auto"/>
            <w:right w:val="none" w:sz="0" w:space="0" w:color="auto"/>
          </w:divBdr>
        </w:div>
        <w:div w:id="2136948705">
          <w:marLeft w:val="274"/>
          <w:marRight w:val="86"/>
          <w:marTop w:val="0"/>
          <w:marBottom w:val="0"/>
          <w:divBdr>
            <w:top w:val="none" w:sz="0" w:space="0" w:color="auto"/>
            <w:left w:val="none" w:sz="0" w:space="0" w:color="auto"/>
            <w:bottom w:val="none" w:sz="0" w:space="0" w:color="auto"/>
            <w:right w:val="none" w:sz="0" w:space="0" w:color="auto"/>
          </w:divBdr>
        </w:div>
        <w:div w:id="2140220033">
          <w:marLeft w:val="274"/>
          <w:marRight w:val="86"/>
          <w:marTop w:val="0"/>
          <w:marBottom w:val="0"/>
          <w:divBdr>
            <w:top w:val="none" w:sz="0" w:space="0" w:color="auto"/>
            <w:left w:val="none" w:sz="0" w:space="0" w:color="auto"/>
            <w:bottom w:val="none" w:sz="0" w:space="0" w:color="auto"/>
            <w:right w:val="none" w:sz="0" w:space="0" w:color="auto"/>
          </w:divBdr>
        </w:div>
        <w:div w:id="2141072605">
          <w:marLeft w:val="274"/>
          <w:marRight w:val="86"/>
          <w:marTop w:val="0"/>
          <w:marBottom w:val="0"/>
          <w:divBdr>
            <w:top w:val="none" w:sz="0" w:space="0" w:color="auto"/>
            <w:left w:val="none" w:sz="0" w:space="0" w:color="auto"/>
            <w:bottom w:val="none" w:sz="0" w:space="0" w:color="auto"/>
            <w:right w:val="none" w:sz="0" w:space="0" w:color="auto"/>
          </w:divBdr>
        </w:div>
        <w:div w:id="2142459403">
          <w:marLeft w:val="274"/>
          <w:marRight w:val="86"/>
          <w:marTop w:val="0"/>
          <w:marBottom w:val="0"/>
          <w:divBdr>
            <w:top w:val="none" w:sz="0" w:space="0" w:color="auto"/>
            <w:left w:val="none" w:sz="0" w:space="0" w:color="auto"/>
            <w:bottom w:val="none" w:sz="0" w:space="0" w:color="auto"/>
            <w:right w:val="none" w:sz="0" w:space="0" w:color="auto"/>
          </w:divBdr>
        </w:div>
      </w:divsChild>
    </w:div>
    <w:div w:id="1706565546">
      <w:bodyDiv w:val="1"/>
      <w:marLeft w:val="0"/>
      <w:marRight w:val="0"/>
      <w:marTop w:val="0"/>
      <w:marBottom w:val="0"/>
      <w:divBdr>
        <w:top w:val="none" w:sz="0" w:space="0" w:color="auto"/>
        <w:left w:val="none" w:sz="0" w:space="0" w:color="auto"/>
        <w:bottom w:val="none" w:sz="0" w:space="0" w:color="auto"/>
        <w:right w:val="none" w:sz="0" w:space="0" w:color="auto"/>
      </w:divBdr>
    </w:div>
    <w:div w:id="1711342629">
      <w:bodyDiv w:val="1"/>
      <w:marLeft w:val="0"/>
      <w:marRight w:val="0"/>
      <w:marTop w:val="0"/>
      <w:marBottom w:val="0"/>
      <w:divBdr>
        <w:top w:val="none" w:sz="0" w:space="0" w:color="auto"/>
        <w:left w:val="none" w:sz="0" w:space="0" w:color="auto"/>
        <w:bottom w:val="none" w:sz="0" w:space="0" w:color="auto"/>
        <w:right w:val="none" w:sz="0" w:space="0" w:color="auto"/>
      </w:divBdr>
    </w:div>
    <w:div w:id="1719282154">
      <w:bodyDiv w:val="1"/>
      <w:marLeft w:val="0"/>
      <w:marRight w:val="0"/>
      <w:marTop w:val="0"/>
      <w:marBottom w:val="0"/>
      <w:divBdr>
        <w:top w:val="none" w:sz="0" w:space="0" w:color="auto"/>
        <w:left w:val="none" w:sz="0" w:space="0" w:color="auto"/>
        <w:bottom w:val="none" w:sz="0" w:space="0" w:color="auto"/>
        <w:right w:val="none" w:sz="0" w:space="0" w:color="auto"/>
      </w:divBdr>
      <w:divsChild>
        <w:div w:id="1253007339">
          <w:marLeft w:val="274"/>
          <w:marRight w:val="0"/>
          <w:marTop w:val="0"/>
          <w:marBottom w:val="0"/>
          <w:divBdr>
            <w:top w:val="none" w:sz="0" w:space="0" w:color="auto"/>
            <w:left w:val="none" w:sz="0" w:space="0" w:color="auto"/>
            <w:bottom w:val="none" w:sz="0" w:space="0" w:color="auto"/>
            <w:right w:val="none" w:sz="0" w:space="0" w:color="auto"/>
          </w:divBdr>
        </w:div>
        <w:div w:id="1370688914">
          <w:marLeft w:val="274"/>
          <w:marRight w:val="0"/>
          <w:marTop w:val="0"/>
          <w:marBottom w:val="0"/>
          <w:divBdr>
            <w:top w:val="none" w:sz="0" w:space="0" w:color="auto"/>
            <w:left w:val="none" w:sz="0" w:space="0" w:color="auto"/>
            <w:bottom w:val="none" w:sz="0" w:space="0" w:color="auto"/>
            <w:right w:val="none" w:sz="0" w:space="0" w:color="auto"/>
          </w:divBdr>
        </w:div>
      </w:divsChild>
    </w:div>
    <w:div w:id="1733851283">
      <w:bodyDiv w:val="1"/>
      <w:marLeft w:val="0"/>
      <w:marRight w:val="0"/>
      <w:marTop w:val="0"/>
      <w:marBottom w:val="0"/>
      <w:divBdr>
        <w:top w:val="none" w:sz="0" w:space="0" w:color="auto"/>
        <w:left w:val="none" w:sz="0" w:space="0" w:color="auto"/>
        <w:bottom w:val="none" w:sz="0" w:space="0" w:color="auto"/>
        <w:right w:val="none" w:sz="0" w:space="0" w:color="auto"/>
      </w:divBdr>
    </w:div>
    <w:div w:id="1741560444">
      <w:bodyDiv w:val="1"/>
      <w:marLeft w:val="0"/>
      <w:marRight w:val="0"/>
      <w:marTop w:val="0"/>
      <w:marBottom w:val="0"/>
      <w:divBdr>
        <w:top w:val="none" w:sz="0" w:space="0" w:color="auto"/>
        <w:left w:val="none" w:sz="0" w:space="0" w:color="auto"/>
        <w:bottom w:val="none" w:sz="0" w:space="0" w:color="auto"/>
        <w:right w:val="none" w:sz="0" w:space="0" w:color="auto"/>
      </w:divBdr>
      <w:divsChild>
        <w:div w:id="875849905">
          <w:marLeft w:val="360"/>
          <w:marRight w:val="0"/>
          <w:marTop w:val="0"/>
          <w:marBottom w:val="0"/>
          <w:divBdr>
            <w:top w:val="none" w:sz="0" w:space="0" w:color="auto"/>
            <w:left w:val="none" w:sz="0" w:space="0" w:color="auto"/>
            <w:bottom w:val="none" w:sz="0" w:space="0" w:color="auto"/>
            <w:right w:val="none" w:sz="0" w:space="0" w:color="auto"/>
          </w:divBdr>
        </w:div>
        <w:div w:id="1176188554">
          <w:marLeft w:val="360"/>
          <w:marRight w:val="0"/>
          <w:marTop w:val="0"/>
          <w:marBottom w:val="0"/>
          <w:divBdr>
            <w:top w:val="none" w:sz="0" w:space="0" w:color="auto"/>
            <w:left w:val="none" w:sz="0" w:space="0" w:color="auto"/>
            <w:bottom w:val="none" w:sz="0" w:space="0" w:color="auto"/>
            <w:right w:val="none" w:sz="0" w:space="0" w:color="auto"/>
          </w:divBdr>
        </w:div>
      </w:divsChild>
    </w:div>
    <w:div w:id="1786071525">
      <w:bodyDiv w:val="1"/>
      <w:marLeft w:val="0"/>
      <w:marRight w:val="0"/>
      <w:marTop w:val="0"/>
      <w:marBottom w:val="0"/>
      <w:divBdr>
        <w:top w:val="none" w:sz="0" w:space="0" w:color="auto"/>
        <w:left w:val="none" w:sz="0" w:space="0" w:color="auto"/>
        <w:bottom w:val="none" w:sz="0" w:space="0" w:color="auto"/>
        <w:right w:val="none" w:sz="0" w:space="0" w:color="auto"/>
      </w:divBdr>
    </w:div>
    <w:div w:id="1790513323">
      <w:bodyDiv w:val="1"/>
      <w:marLeft w:val="0"/>
      <w:marRight w:val="0"/>
      <w:marTop w:val="0"/>
      <w:marBottom w:val="0"/>
      <w:divBdr>
        <w:top w:val="none" w:sz="0" w:space="0" w:color="auto"/>
        <w:left w:val="none" w:sz="0" w:space="0" w:color="auto"/>
        <w:bottom w:val="none" w:sz="0" w:space="0" w:color="auto"/>
        <w:right w:val="none" w:sz="0" w:space="0" w:color="auto"/>
      </w:divBdr>
      <w:divsChild>
        <w:div w:id="200284292">
          <w:marLeft w:val="446"/>
          <w:marRight w:val="0"/>
          <w:marTop w:val="200"/>
          <w:marBottom w:val="0"/>
          <w:divBdr>
            <w:top w:val="none" w:sz="0" w:space="0" w:color="auto"/>
            <w:left w:val="none" w:sz="0" w:space="0" w:color="auto"/>
            <w:bottom w:val="none" w:sz="0" w:space="0" w:color="auto"/>
            <w:right w:val="none" w:sz="0" w:space="0" w:color="auto"/>
          </w:divBdr>
        </w:div>
        <w:div w:id="420225738">
          <w:marLeft w:val="446"/>
          <w:marRight w:val="0"/>
          <w:marTop w:val="200"/>
          <w:marBottom w:val="0"/>
          <w:divBdr>
            <w:top w:val="none" w:sz="0" w:space="0" w:color="auto"/>
            <w:left w:val="none" w:sz="0" w:space="0" w:color="auto"/>
            <w:bottom w:val="none" w:sz="0" w:space="0" w:color="auto"/>
            <w:right w:val="none" w:sz="0" w:space="0" w:color="auto"/>
          </w:divBdr>
        </w:div>
        <w:div w:id="579759298">
          <w:marLeft w:val="446"/>
          <w:marRight w:val="0"/>
          <w:marTop w:val="200"/>
          <w:marBottom w:val="0"/>
          <w:divBdr>
            <w:top w:val="none" w:sz="0" w:space="0" w:color="auto"/>
            <w:left w:val="none" w:sz="0" w:space="0" w:color="auto"/>
            <w:bottom w:val="none" w:sz="0" w:space="0" w:color="auto"/>
            <w:right w:val="none" w:sz="0" w:space="0" w:color="auto"/>
          </w:divBdr>
        </w:div>
        <w:div w:id="992374281">
          <w:marLeft w:val="446"/>
          <w:marRight w:val="0"/>
          <w:marTop w:val="200"/>
          <w:marBottom w:val="0"/>
          <w:divBdr>
            <w:top w:val="none" w:sz="0" w:space="0" w:color="auto"/>
            <w:left w:val="none" w:sz="0" w:space="0" w:color="auto"/>
            <w:bottom w:val="none" w:sz="0" w:space="0" w:color="auto"/>
            <w:right w:val="none" w:sz="0" w:space="0" w:color="auto"/>
          </w:divBdr>
        </w:div>
        <w:div w:id="1164592550">
          <w:marLeft w:val="446"/>
          <w:marRight w:val="0"/>
          <w:marTop w:val="200"/>
          <w:marBottom w:val="0"/>
          <w:divBdr>
            <w:top w:val="none" w:sz="0" w:space="0" w:color="auto"/>
            <w:left w:val="none" w:sz="0" w:space="0" w:color="auto"/>
            <w:bottom w:val="none" w:sz="0" w:space="0" w:color="auto"/>
            <w:right w:val="none" w:sz="0" w:space="0" w:color="auto"/>
          </w:divBdr>
        </w:div>
        <w:div w:id="1178810753">
          <w:marLeft w:val="446"/>
          <w:marRight w:val="0"/>
          <w:marTop w:val="200"/>
          <w:marBottom w:val="0"/>
          <w:divBdr>
            <w:top w:val="none" w:sz="0" w:space="0" w:color="auto"/>
            <w:left w:val="none" w:sz="0" w:space="0" w:color="auto"/>
            <w:bottom w:val="none" w:sz="0" w:space="0" w:color="auto"/>
            <w:right w:val="none" w:sz="0" w:space="0" w:color="auto"/>
          </w:divBdr>
        </w:div>
        <w:div w:id="1863856089">
          <w:marLeft w:val="446"/>
          <w:marRight w:val="0"/>
          <w:marTop w:val="200"/>
          <w:marBottom w:val="0"/>
          <w:divBdr>
            <w:top w:val="none" w:sz="0" w:space="0" w:color="auto"/>
            <w:left w:val="none" w:sz="0" w:space="0" w:color="auto"/>
            <w:bottom w:val="none" w:sz="0" w:space="0" w:color="auto"/>
            <w:right w:val="none" w:sz="0" w:space="0" w:color="auto"/>
          </w:divBdr>
        </w:div>
        <w:div w:id="2146191232">
          <w:marLeft w:val="446"/>
          <w:marRight w:val="0"/>
          <w:marTop w:val="200"/>
          <w:marBottom w:val="0"/>
          <w:divBdr>
            <w:top w:val="none" w:sz="0" w:space="0" w:color="auto"/>
            <w:left w:val="none" w:sz="0" w:space="0" w:color="auto"/>
            <w:bottom w:val="none" w:sz="0" w:space="0" w:color="auto"/>
            <w:right w:val="none" w:sz="0" w:space="0" w:color="auto"/>
          </w:divBdr>
        </w:div>
      </w:divsChild>
    </w:div>
    <w:div w:id="1793090615">
      <w:bodyDiv w:val="1"/>
      <w:marLeft w:val="0"/>
      <w:marRight w:val="0"/>
      <w:marTop w:val="0"/>
      <w:marBottom w:val="0"/>
      <w:divBdr>
        <w:top w:val="none" w:sz="0" w:space="0" w:color="auto"/>
        <w:left w:val="none" w:sz="0" w:space="0" w:color="auto"/>
        <w:bottom w:val="none" w:sz="0" w:space="0" w:color="auto"/>
        <w:right w:val="none" w:sz="0" w:space="0" w:color="auto"/>
      </w:divBdr>
    </w:div>
    <w:div w:id="1807159518">
      <w:bodyDiv w:val="1"/>
      <w:marLeft w:val="0"/>
      <w:marRight w:val="0"/>
      <w:marTop w:val="0"/>
      <w:marBottom w:val="0"/>
      <w:divBdr>
        <w:top w:val="none" w:sz="0" w:space="0" w:color="auto"/>
        <w:left w:val="none" w:sz="0" w:space="0" w:color="auto"/>
        <w:bottom w:val="none" w:sz="0" w:space="0" w:color="auto"/>
        <w:right w:val="none" w:sz="0" w:space="0" w:color="auto"/>
      </w:divBdr>
      <w:divsChild>
        <w:div w:id="48460937">
          <w:marLeft w:val="360"/>
          <w:marRight w:val="0"/>
          <w:marTop w:val="200"/>
          <w:marBottom w:val="0"/>
          <w:divBdr>
            <w:top w:val="none" w:sz="0" w:space="0" w:color="auto"/>
            <w:left w:val="none" w:sz="0" w:space="0" w:color="auto"/>
            <w:bottom w:val="none" w:sz="0" w:space="0" w:color="auto"/>
            <w:right w:val="none" w:sz="0" w:space="0" w:color="auto"/>
          </w:divBdr>
        </w:div>
        <w:div w:id="659239023">
          <w:marLeft w:val="360"/>
          <w:marRight w:val="0"/>
          <w:marTop w:val="200"/>
          <w:marBottom w:val="0"/>
          <w:divBdr>
            <w:top w:val="none" w:sz="0" w:space="0" w:color="auto"/>
            <w:left w:val="none" w:sz="0" w:space="0" w:color="auto"/>
            <w:bottom w:val="none" w:sz="0" w:space="0" w:color="auto"/>
            <w:right w:val="none" w:sz="0" w:space="0" w:color="auto"/>
          </w:divBdr>
        </w:div>
        <w:div w:id="885530929">
          <w:marLeft w:val="360"/>
          <w:marRight w:val="0"/>
          <w:marTop w:val="200"/>
          <w:marBottom w:val="0"/>
          <w:divBdr>
            <w:top w:val="none" w:sz="0" w:space="0" w:color="auto"/>
            <w:left w:val="none" w:sz="0" w:space="0" w:color="auto"/>
            <w:bottom w:val="none" w:sz="0" w:space="0" w:color="auto"/>
            <w:right w:val="none" w:sz="0" w:space="0" w:color="auto"/>
          </w:divBdr>
        </w:div>
      </w:divsChild>
    </w:div>
    <w:div w:id="1809856406">
      <w:bodyDiv w:val="1"/>
      <w:marLeft w:val="0"/>
      <w:marRight w:val="0"/>
      <w:marTop w:val="0"/>
      <w:marBottom w:val="0"/>
      <w:divBdr>
        <w:top w:val="none" w:sz="0" w:space="0" w:color="auto"/>
        <w:left w:val="none" w:sz="0" w:space="0" w:color="auto"/>
        <w:bottom w:val="none" w:sz="0" w:space="0" w:color="auto"/>
        <w:right w:val="none" w:sz="0" w:space="0" w:color="auto"/>
      </w:divBdr>
    </w:div>
    <w:div w:id="1862236642">
      <w:bodyDiv w:val="1"/>
      <w:marLeft w:val="0"/>
      <w:marRight w:val="0"/>
      <w:marTop w:val="0"/>
      <w:marBottom w:val="0"/>
      <w:divBdr>
        <w:top w:val="none" w:sz="0" w:space="0" w:color="auto"/>
        <w:left w:val="none" w:sz="0" w:space="0" w:color="auto"/>
        <w:bottom w:val="none" w:sz="0" w:space="0" w:color="auto"/>
        <w:right w:val="none" w:sz="0" w:space="0" w:color="auto"/>
      </w:divBdr>
      <w:divsChild>
        <w:div w:id="1008171430">
          <w:marLeft w:val="274"/>
          <w:marRight w:val="0"/>
          <w:marTop w:val="60"/>
          <w:marBottom w:val="60"/>
          <w:divBdr>
            <w:top w:val="none" w:sz="0" w:space="0" w:color="auto"/>
            <w:left w:val="none" w:sz="0" w:space="0" w:color="auto"/>
            <w:bottom w:val="none" w:sz="0" w:space="0" w:color="auto"/>
            <w:right w:val="none" w:sz="0" w:space="0" w:color="auto"/>
          </w:divBdr>
        </w:div>
        <w:div w:id="1195535940">
          <w:marLeft w:val="274"/>
          <w:marRight w:val="0"/>
          <w:marTop w:val="60"/>
          <w:marBottom w:val="60"/>
          <w:divBdr>
            <w:top w:val="none" w:sz="0" w:space="0" w:color="auto"/>
            <w:left w:val="none" w:sz="0" w:space="0" w:color="auto"/>
            <w:bottom w:val="none" w:sz="0" w:space="0" w:color="auto"/>
            <w:right w:val="none" w:sz="0" w:space="0" w:color="auto"/>
          </w:divBdr>
        </w:div>
        <w:div w:id="1206604354">
          <w:marLeft w:val="274"/>
          <w:marRight w:val="0"/>
          <w:marTop w:val="60"/>
          <w:marBottom w:val="60"/>
          <w:divBdr>
            <w:top w:val="none" w:sz="0" w:space="0" w:color="auto"/>
            <w:left w:val="none" w:sz="0" w:space="0" w:color="auto"/>
            <w:bottom w:val="none" w:sz="0" w:space="0" w:color="auto"/>
            <w:right w:val="none" w:sz="0" w:space="0" w:color="auto"/>
          </w:divBdr>
        </w:div>
        <w:div w:id="1209948634">
          <w:marLeft w:val="274"/>
          <w:marRight w:val="0"/>
          <w:marTop w:val="60"/>
          <w:marBottom w:val="60"/>
          <w:divBdr>
            <w:top w:val="none" w:sz="0" w:space="0" w:color="auto"/>
            <w:left w:val="none" w:sz="0" w:space="0" w:color="auto"/>
            <w:bottom w:val="none" w:sz="0" w:space="0" w:color="auto"/>
            <w:right w:val="none" w:sz="0" w:space="0" w:color="auto"/>
          </w:divBdr>
        </w:div>
        <w:div w:id="1580484511">
          <w:marLeft w:val="274"/>
          <w:marRight w:val="0"/>
          <w:marTop w:val="60"/>
          <w:marBottom w:val="60"/>
          <w:divBdr>
            <w:top w:val="none" w:sz="0" w:space="0" w:color="auto"/>
            <w:left w:val="none" w:sz="0" w:space="0" w:color="auto"/>
            <w:bottom w:val="none" w:sz="0" w:space="0" w:color="auto"/>
            <w:right w:val="none" w:sz="0" w:space="0" w:color="auto"/>
          </w:divBdr>
        </w:div>
      </w:divsChild>
    </w:div>
    <w:div w:id="1888644676">
      <w:bodyDiv w:val="1"/>
      <w:marLeft w:val="0"/>
      <w:marRight w:val="0"/>
      <w:marTop w:val="0"/>
      <w:marBottom w:val="0"/>
      <w:divBdr>
        <w:top w:val="none" w:sz="0" w:space="0" w:color="auto"/>
        <w:left w:val="none" w:sz="0" w:space="0" w:color="auto"/>
        <w:bottom w:val="none" w:sz="0" w:space="0" w:color="auto"/>
        <w:right w:val="none" w:sz="0" w:space="0" w:color="auto"/>
      </w:divBdr>
    </w:div>
    <w:div w:id="1891109247">
      <w:bodyDiv w:val="1"/>
      <w:marLeft w:val="0"/>
      <w:marRight w:val="0"/>
      <w:marTop w:val="0"/>
      <w:marBottom w:val="0"/>
      <w:divBdr>
        <w:top w:val="none" w:sz="0" w:space="0" w:color="auto"/>
        <w:left w:val="none" w:sz="0" w:space="0" w:color="auto"/>
        <w:bottom w:val="none" w:sz="0" w:space="0" w:color="auto"/>
        <w:right w:val="none" w:sz="0" w:space="0" w:color="auto"/>
      </w:divBdr>
    </w:div>
    <w:div w:id="1894847204">
      <w:bodyDiv w:val="1"/>
      <w:marLeft w:val="0"/>
      <w:marRight w:val="0"/>
      <w:marTop w:val="0"/>
      <w:marBottom w:val="0"/>
      <w:divBdr>
        <w:top w:val="none" w:sz="0" w:space="0" w:color="auto"/>
        <w:left w:val="none" w:sz="0" w:space="0" w:color="auto"/>
        <w:bottom w:val="none" w:sz="0" w:space="0" w:color="auto"/>
        <w:right w:val="none" w:sz="0" w:space="0" w:color="auto"/>
      </w:divBdr>
      <w:divsChild>
        <w:div w:id="1077627935">
          <w:marLeft w:val="360"/>
          <w:marRight w:val="0"/>
          <w:marTop w:val="200"/>
          <w:marBottom w:val="0"/>
          <w:divBdr>
            <w:top w:val="none" w:sz="0" w:space="0" w:color="auto"/>
            <w:left w:val="none" w:sz="0" w:space="0" w:color="auto"/>
            <w:bottom w:val="none" w:sz="0" w:space="0" w:color="auto"/>
            <w:right w:val="none" w:sz="0" w:space="0" w:color="auto"/>
          </w:divBdr>
        </w:div>
        <w:div w:id="1196963328">
          <w:marLeft w:val="360"/>
          <w:marRight w:val="0"/>
          <w:marTop w:val="200"/>
          <w:marBottom w:val="0"/>
          <w:divBdr>
            <w:top w:val="none" w:sz="0" w:space="0" w:color="auto"/>
            <w:left w:val="none" w:sz="0" w:space="0" w:color="auto"/>
            <w:bottom w:val="none" w:sz="0" w:space="0" w:color="auto"/>
            <w:right w:val="none" w:sz="0" w:space="0" w:color="auto"/>
          </w:divBdr>
        </w:div>
        <w:div w:id="1302927379">
          <w:marLeft w:val="360"/>
          <w:marRight w:val="0"/>
          <w:marTop w:val="200"/>
          <w:marBottom w:val="0"/>
          <w:divBdr>
            <w:top w:val="none" w:sz="0" w:space="0" w:color="auto"/>
            <w:left w:val="none" w:sz="0" w:space="0" w:color="auto"/>
            <w:bottom w:val="none" w:sz="0" w:space="0" w:color="auto"/>
            <w:right w:val="none" w:sz="0" w:space="0" w:color="auto"/>
          </w:divBdr>
        </w:div>
        <w:div w:id="1514802384">
          <w:marLeft w:val="360"/>
          <w:marRight w:val="0"/>
          <w:marTop w:val="200"/>
          <w:marBottom w:val="0"/>
          <w:divBdr>
            <w:top w:val="none" w:sz="0" w:space="0" w:color="auto"/>
            <w:left w:val="none" w:sz="0" w:space="0" w:color="auto"/>
            <w:bottom w:val="none" w:sz="0" w:space="0" w:color="auto"/>
            <w:right w:val="none" w:sz="0" w:space="0" w:color="auto"/>
          </w:divBdr>
        </w:div>
      </w:divsChild>
    </w:div>
    <w:div w:id="1912764147">
      <w:bodyDiv w:val="1"/>
      <w:marLeft w:val="0"/>
      <w:marRight w:val="0"/>
      <w:marTop w:val="0"/>
      <w:marBottom w:val="0"/>
      <w:divBdr>
        <w:top w:val="none" w:sz="0" w:space="0" w:color="auto"/>
        <w:left w:val="none" w:sz="0" w:space="0" w:color="auto"/>
        <w:bottom w:val="none" w:sz="0" w:space="0" w:color="auto"/>
        <w:right w:val="none" w:sz="0" w:space="0" w:color="auto"/>
      </w:divBdr>
      <w:divsChild>
        <w:div w:id="308823891">
          <w:marLeft w:val="274"/>
          <w:marRight w:val="0"/>
          <w:marTop w:val="60"/>
          <w:marBottom w:val="60"/>
          <w:divBdr>
            <w:top w:val="none" w:sz="0" w:space="0" w:color="auto"/>
            <w:left w:val="none" w:sz="0" w:space="0" w:color="auto"/>
            <w:bottom w:val="none" w:sz="0" w:space="0" w:color="auto"/>
            <w:right w:val="none" w:sz="0" w:space="0" w:color="auto"/>
          </w:divBdr>
        </w:div>
        <w:div w:id="2085250638">
          <w:marLeft w:val="274"/>
          <w:marRight w:val="0"/>
          <w:marTop w:val="60"/>
          <w:marBottom w:val="60"/>
          <w:divBdr>
            <w:top w:val="none" w:sz="0" w:space="0" w:color="auto"/>
            <w:left w:val="none" w:sz="0" w:space="0" w:color="auto"/>
            <w:bottom w:val="none" w:sz="0" w:space="0" w:color="auto"/>
            <w:right w:val="none" w:sz="0" w:space="0" w:color="auto"/>
          </w:divBdr>
        </w:div>
      </w:divsChild>
    </w:div>
    <w:div w:id="1930580611">
      <w:bodyDiv w:val="1"/>
      <w:marLeft w:val="0"/>
      <w:marRight w:val="0"/>
      <w:marTop w:val="0"/>
      <w:marBottom w:val="0"/>
      <w:divBdr>
        <w:top w:val="none" w:sz="0" w:space="0" w:color="auto"/>
        <w:left w:val="none" w:sz="0" w:space="0" w:color="auto"/>
        <w:bottom w:val="none" w:sz="0" w:space="0" w:color="auto"/>
        <w:right w:val="none" w:sz="0" w:space="0" w:color="auto"/>
      </w:divBdr>
    </w:div>
    <w:div w:id="1964076673">
      <w:bodyDiv w:val="1"/>
      <w:marLeft w:val="0"/>
      <w:marRight w:val="0"/>
      <w:marTop w:val="0"/>
      <w:marBottom w:val="0"/>
      <w:divBdr>
        <w:top w:val="none" w:sz="0" w:space="0" w:color="auto"/>
        <w:left w:val="none" w:sz="0" w:space="0" w:color="auto"/>
        <w:bottom w:val="none" w:sz="0" w:space="0" w:color="auto"/>
        <w:right w:val="none" w:sz="0" w:space="0" w:color="auto"/>
      </w:divBdr>
    </w:div>
    <w:div w:id="1973051444">
      <w:bodyDiv w:val="1"/>
      <w:marLeft w:val="0"/>
      <w:marRight w:val="0"/>
      <w:marTop w:val="0"/>
      <w:marBottom w:val="0"/>
      <w:divBdr>
        <w:top w:val="none" w:sz="0" w:space="0" w:color="auto"/>
        <w:left w:val="none" w:sz="0" w:space="0" w:color="auto"/>
        <w:bottom w:val="none" w:sz="0" w:space="0" w:color="auto"/>
        <w:right w:val="none" w:sz="0" w:space="0" w:color="auto"/>
      </w:divBdr>
      <w:divsChild>
        <w:div w:id="20129748">
          <w:marLeft w:val="274"/>
          <w:marRight w:val="0"/>
          <w:marTop w:val="60"/>
          <w:marBottom w:val="60"/>
          <w:divBdr>
            <w:top w:val="none" w:sz="0" w:space="0" w:color="auto"/>
            <w:left w:val="none" w:sz="0" w:space="0" w:color="auto"/>
            <w:bottom w:val="none" w:sz="0" w:space="0" w:color="auto"/>
            <w:right w:val="none" w:sz="0" w:space="0" w:color="auto"/>
          </w:divBdr>
        </w:div>
        <w:div w:id="408428295">
          <w:marLeft w:val="274"/>
          <w:marRight w:val="0"/>
          <w:marTop w:val="60"/>
          <w:marBottom w:val="60"/>
          <w:divBdr>
            <w:top w:val="none" w:sz="0" w:space="0" w:color="auto"/>
            <w:left w:val="none" w:sz="0" w:space="0" w:color="auto"/>
            <w:bottom w:val="none" w:sz="0" w:space="0" w:color="auto"/>
            <w:right w:val="none" w:sz="0" w:space="0" w:color="auto"/>
          </w:divBdr>
        </w:div>
        <w:div w:id="1241217399">
          <w:marLeft w:val="274"/>
          <w:marRight w:val="0"/>
          <w:marTop w:val="60"/>
          <w:marBottom w:val="60"/>
          <w:divBdr>
            <w:top w:val="none" w:sz="0" w:space="0" w:color="auto"/>
            <w:left w:val="none" w:sz="0" w:space="0" w:color="auto"/>
            <w:bottom w:val="none" w:sz="0" w:space="0" w:color="auto"/>
            <w:right w:val="none" w:sz="0" w:space="0" w:color="auto"/>
          </w:divBdr>
        </w:div>
      </w:divsChild>
    </w:div>
    <w:div w:id="1980761605">
      <w:bodyDiv w:val="1"/>
      <w:marLeft w:val="0"/>
      <w:marRight w:val="0"/>
      <w:marTop w:val="0"/>
      <w:marBottom w:val="0"/>
      <w:divBdr>
        <w:top w:val="none" w:sz="0" w:space="0" w:color="auto"/>
        <w:left w:val="none" w:sz="0" w:space="0" w:color="auto"/>
        <w:bottom w:val="none" w:sz="0" w:space="0" w:color="auto"/>
        <w:right w:val="none" w:sz="0" w:space="0" w:color="auto"/>
      </w:divBdr>
      <w:divsChild>
        <w:div w:id="305745233">
          <w:marLeft w:val="274"/>
          <w:marRight w:val="0"/>
          <w:marTop w:val="0"/>
          <w:marBottom w:val="0"/>
          <w:divBdr>
            <w:top w:val="none" w:sz="0" w:space="0" w:color="auto"/>
            <w:left w:val="none" w:sz="0" w:space="0" w:color="auto"/>
            <w:bottom w:val="none" w:sz="0" w:space="0" w:color="auto"/>
            <w:right w:val="none" w:sz="0" w:space="0" w:color="auto"/>
          </w:divBdr>
        </w:div>
        <w:div w:id="327364149">
          <w:marLeft w:val="274"/>
          <w:marRight w:val="0"/>
          <w:marTop w:val="0"/>
          <w:marBottom w:val="0"/>
          <w:divBdr>
            <w:top w:val="none" w:sz="0" w:space="0" w:color="auto"/>
            <w:left w:val="none" w:sz="0" w:space="0" w:color="auto"/>
            <w:bottom w:val="none" w:sz="0" w:space="0" w:color="auto"/>
            <w:right w:val="none" w:sz="0" w:space="0" w:color="auto"/>
          </w:divBdr>
        </w:div>
        <w:div w:id="562764313">
          <w:marLeft w:val="274"/>
          <w:marRight w:val="0"/>
          <w:marTop w:val="0"/>
          <w:marBottom w:val="0"/>
          <w:divBdr>
            <w:top w:val="none" w:sz="0" w:space="0" w:color="auto"/>
            <w:left w:val="none" w:sz="0" w:space="0" w:color="auto"/>
            <w:bottom w:val="none" w:sz="0" w:space="0" w:color="auto"/>
            <w:right w:val="none" w:sz="0" w:space="0" w:color="auto"/>
          </w:divBdr>
        </w:div>
        <w:div w:id="595483910">
          <w:marLeft w:val="274"/>
          <w:marRight w:val="0"/>
          <w:marTop w:val="0"/>
          <w:marBottom w:val="0"/>
          <w:divBdr>
            <w:top w:val="none" w:sz="0" w:space="0" w:color="auto"/>
            <w:left w:val="none" w:sz="0" w:space="0" w:color="auto"/>
            <w:bottom w:val="none" w:sz="0" w:space="0" w:color="auto"/>
            <w:right w:val="none" w:sz="0" w:space="0" w:color="auto"/>
          </w:divBdr>
        </w:div>
        <w:div w:id="818036565">
          <w:marLeft w:val="274"/>
          <w:marRight w:val="0"/>
          <w:marTop w:val="0"/>
          <w:marBottom w:val="0"/>
          <w:divBdr>
            <w:top w:val="none" w:sz="0" w:space="0" w:color="auto"/>
            <w:left w:val="none" w:sz="0" w:space="0" w:color="auto"/>
            <w:bottom w:val="none" w:sz="0" w:space="0" w:color="auto"/>
            <w:right w:val="none" w:sz="0" w:space="0" w:color="auto"/>
          </w:divBdr>
        </w:div>
        <w:div w:id="1184629240">
          <w:marLeft w:val="274"/>
          <w:marRight w:val="0"/>
          <w:marTop w:val="0"/>
          <w:marBottom w:val="0"/>
          <w:divBdr>
            <w:top w:val="none" w:sz="0" w:space="0" w:color="auto"/>
            <w:left w:val="none" w:sz="0" w:space="0" w:color="auto"/>
            <w:bottom w:val="none" w:sz="0" w:space="0" w:color="auto"/>
            <w:right w:val="none" w:sz="0" w:space="0" w:color="auto"/>
          </w:divBdr>
        </w:div>
        <w:div w:id="1465272681">
          <w:marLeft w:val="274"/>
          <w:marRight w:val="0"/>
          <w:marTop w:val="0"/>
          <w:marBottom w:val="0"/>
          <w:divBdr>
            <w:top w:val="none" w:sz="0" w:space="0" w:color="auto"/>
            <w:left w:val="none" w:sz="0" w:space="0" w:color="auto"/>
            <w:bottom w:val="none" w:sz="0" w:space="0" w:color="auto"/>
            <w:right w:val="none" w:sz="0" w:space="0" w:color="auto"/>
          </w:divBdr>
        </w:div>
        <w:div w:id="1795446289">
          <w:marLeft w:val="274"/>
          <w:marRight w:val="0"/>
          <w:marTop w:val="0"/>
          <w:marBottom w:val="0"/>
          <w:divBdr>
            <w:top w:val="none" w:sz="0" w:space="0" w:color="auto"/>
            <w:left w:val="none" w:sz="0" w:space="0" w:color="auto"/>
            <w:bottom w:val="none" w:sz="0" w:space="0" w:color="auto"/>
            <w:right w:val="none" w:sz="0" w:space="0" w:color="auto"/>
          </w:divBdr>
        </w:div>
      </w:divsChild>
    </w:div>
    <w:div w:id="1996520862">
      <w:bodyDiv w:val="1"/>
      <w:marLeft w:val="0"/>
      <w:marRight w:val="0"/>
      <w:marTop w:val="0"/>
      <w:marBottom w:val="0"/>
      <w:divBdr>
        <w:top w:val="none" w:sz="0" w:space="0" w:color="auto"/>
        <w:left w:val="none" w:sz="0" w:space="0" w:color="auto"/>
        <w:bottom w:val="none" w:sz="0" w:space="0" w:color="auto"/>
        <w:right w:val="none" w:sz="0" w:space="0" w:color="auto"/>
      </w:divBdr>
    </w:div>
    <w:div w:id="2025595817">
      <w:bodyDiv w:val="1"/>
      <w:marLeft w:val="0"/>
      <w:marRight w:val="0"/>
      <w:marTop w:val="0"/>
      <w:marBottom w:val="0"/>
      <w:divBdr>
        <w:top w:val="none" w:sz="0" w:space="0" w:color="auto"/>
        <w:left w:val="none" w:sz="0" w:space="0" w:color="auto"/>
        <w:bottom w:val="none" w:sz="0" w:space="0" w:color="auto"/>
        <w:right w:val="none" w:sz="0" w:space="0" w:color="auto"/>
      </w:divBdr>
      <w:divsChild>
        <w:div w:id="1106123824">
          <w:marLeft w:val="634"/>
          <w:marRight w:val="0"/>
          <w:marTop w:val="0"/>
          <w:marBottom w:val="0"/>
          <w:divBdr>
            <w:top w:val="none" w:sz="0" w:space="0" w:color="auto"/>
            <w:left w:val="none" w:sz="0" w:space="0" w:color="auto"/>
            <w:bottom w:val="none" w:sz="0" w:space="0" w:color="auto"/>
            <w:right w:val="none" w:sz="0" w:space="0" w:color="auto"/>
          </w:divBdr>
        </w:div>
      </w:divsChild>
    </w:div>
    <w:div w:id="2030720366">
      <w:bodyDiv w:val="1"/>
      <w:marLeft w:val="0"/>
      <w:marRight w:val="0"/>
      <w:marTop w:val="0"/>
      <w:marBottom w:val="0"/>
      <w:divBdr>
        <w:top w:val="none" w:sz="0" w:space="0" w:color="auto"/>
        <w:left w:val="none" w:sz="0" w:space="0" w:color="auto"/>
        <w:bottom w:val="none" w:sz="0" w:space="0" w:color="auto"/>
        <w:right w:val="none" w:sz="0" w:space="0" w:color="auto"/>
      </w:divBdr>
    </w:div>
    <w:div w:id="2041395584">
      <w:bodyDiv w:val="1"/>
      <w:marLeft w:val="0"/>
      <w:marRight w:val="0"/>
      <w:marTop w:val="0"/>
      <w:marBottom w:val="0"/>
      <w:divBdr>
        <w:top w:val="none" w:sz="0" w:space="0" w:color="auto"/>
        <w:left w:val="none" w:sz="0" w:space="0" w:color="auto"/>
        <w:bottom w:val="none" w:sz="0" w:space="0" w:color="auto"/>
        <w:right w:val="none" w:sz="0" w:space="0" w:color="auto"/>
      </w:divBdr>
      <w:divsChild>
        <w:div w:id="833566100">
          <w:marLeft w:val="274"/>
          <w:marRight w:val="0"/>
          <w:marTop w:val="0"/>
          <w:marBottom w:val="0"/>
          <w:divBdr>
            <w:top w:val="none" w:sz="0" w:space="0" w:color="auto"/>
            <w:left w:val="none" w:sz="0" w:space="0" w:color="auto"/>
            <w:bottom w:val="none" w:sz="0" w:space="0" w:color="auto"/>
            <w:right w:val="none" w:sz="0" w:space="0" w:color="auto"/>
          </w:divBdr>
        </w:div>
        <w:div w:id="1383674274">
          <w:marLeft w:val="274"/>
          <w:marRight w:val="0"/>
          <w:marTop w:val="0"/>
          <w:marBottom w:val="0"/>
          <w:divBdr>
            <w:top w:val="none" w:sz="0" w:space="0" w:color="auto"/>
            <w:left w:val="none" w:sz="0" w:space="0" w:color="auto"/>
            <w:bottom w:val="none" w:sz="0" w:space="0" w:color="auto"/>
            <w:right w:val="none" w:sz="0" w:space="0" w:color="auto"/>
          </w:divBdr>
        </w:div>
      </w:divsChild>
    </w:div>
    <w:div w:id="2050378735">
      <w:bodyDiv w:val="1"/>
      <w:marLeft w:val="0"/>
      <w:marRight w:val="0"/>
      <w:marTop w:val="0"/>
      <w:marBottom w:val="0"/>
      <w:divBdr>
        <w:top w:val="none" w:sz="0" w:space="0" w:color="auto"/>
        <w:left w:val="none" w:sz="0" w:space="0" w:color="auto"/>
        <w:bottom w:val="none" w:sz="0" w:space="0" w:color="auto"/>
        <w:right w:val="none" w:sz="0" w:space="0" w:color="auto"/>
      </w:divBdr>
    </w:div>
    <w:div w:id="2081293472">
      <w:bodyDiv w:val="1"/>
      <w:marLeft w:val="0"/>
      <w:marRight w:val="0"/>
      <w:marTop w:val="0"/>
      <w:marBottom w:val="0"/>
      <w:divBdr>
        <w:top w:val="none" w:sz="0" w:space="0" w:color="auto"/>
        <w:left w:val="none" w:sz="0" w:space="0" w:color="auto"/>
        <w:bottom w:val="none" w:sz="0" w:space="0" w:color="auto"/>
        <w:right w:val="none" w:sz="0" w:space="0" w:color="auto"/>
      </w:divBdr>
    </w:div>
    <w:div w:id="2085758009">
      <w:bodyDiv w:val="1"/>
      <w:marLeft w:val="0"/>
      <w:marRight w:val="0"/>
      <w:marTop w:val="0"/>
      <w:marBottom w:val="0"/>
      <w:divBdr>
        <w:top w:val="none" w:sz="0" w:space="0" w:color="auto"/>
        <w:left w:val="none" w:sz="0" w:space="0" w:color="auto"/>
        <w:bottom w:val="none" w:sz="0" w:space="0" w:color="auto"/>
        <w:right w:val="none" w:sz="0" w:space="0" w:color="auto"/>
      </w:divBdr>
    </w:div>
    <w:div w:id="2086369100">
      <w:bodyDiv w:val="1"/>
      <w:marLeft w:val="0"/>
      <w:marRight w:val="0"/>
      <w:marTop w:val="0"/>
      <w:marBottom w:val="0"/>
      <w:divBdr>
        <w:top w:val="none" w:sz="0" w:space="0" w:color="auto"/>
        <w:left w:val="none" w:sz="0" w:space="0" w:color="auto"/>
        <w:bottom w:val="none" w:sz="0" w:space="0" w:color="auto"/>
        <w:right w:val="none" w:sz="0" w:space="0" w:color="auto"/>
      </w:divBdr>
      <w:divsChild>
        <w:div w:id="810250695">
          <w:marLeft w:val="274"/>
          <w:marRight w:val="0"/>
          <w:marTop w:val="60"/>
          <w:marBottom w:val="60"/>
          <w:divBdr>
            <w:top w:val="none" w:sz="0" w:space="0" w:color="auto"/>
            <w:left w:val="none" w:sz="0" w:space="0" w:color="auto"/>
            <w:bottom w:val="none" w:sz="0" w:space="0" w:color="auto"/>
            <w:right w:val="none" w:sz="0" w:space="0" w:color="auto"/>
          </w:divBdr>
        </w:div>
        <w:div w:id="973486780">
          <w:marLeft w:val="274"/>
          <w:marRight w:val="0"/>
          <w:marTop w:val="60"/>
          <w:marBottom w:val="60"/>
          <w:divBdr>
            <w:top w:val="none" w:sz="0" w:space="0" w:color="auto"/>
            <w:left w:val="none" w:sz="0" w:space="0" w:color="auto"/>
            <w:bottom w:val="none" w:sz="0" w:space="0" w:color="auto"/>
            <w:right w:val="none" w:sz="0" w:space="0" w:color="auto"/>
          </w:divBdr>
        </w:div>
        <w:div w:id="1015619003">
          <w:marLeft w:val="274"/>
          <w:marRight w:val="0"/>
          <w:marTop w:val="60"/>
          <w:marBottom w:val="60"/>
          <w:divBdr>
            <w:top w:val="none" w:sz="0" w:space="0" w:color="auto"/>
            <w:left w:val="none" w:sz="0" w:space="0" w:color="auto"/>
            <w:bottom w:val="none" w:sz="0" w:space="0" w:color="auto"/>
            <w:right w:val="none" w:sz="0" w:space="0" w:color="auto"/>
          </w:divBdr>
        </w:div>
      </w:divsChild>
    </w:div>
    <w:div w:id="2102331888">
      <w:bodyDiv w:val="1"/>
      <w:marLeft w:val="0"/>
      <w:marRight w:val="0"/>
      <w:marTop w:val="0"/>
      <w:marBottom w:val="0"/>
      <w:divBdr>
        <w:top w:val="none" w:sz="0" w:space="0" w:color="auto"/>
        <w:left w:val="none" w:sz="0" w:space="0" w:color="auto"/>
        <w:bottom w:val="none" w:sz="0" w:space="0" w:color="auto"/>
        <w:right w:val="none" w:sz="0" w:space="0" w:color="auto"/>
      </w:divBdr>
      <w:divsChild>
        <w:div w:id="543759299">
          <w:marLeft w:val="274"/>
          <w:marRight w:val="0"/>
          <w:marTop w:val="60"/>
          <w:marBottom w:val="60"/>
          <w:divBdr>
            <w:top w:val="none" w:sz="0" w:space="0" w:color="auto"/>
            <w:left w:val="none" w:sz="0" w:space="0" w:color="auto"/>
            <w:bottom w:val="none" w:sz="0" w:space="0" w:color="auto"/>
            <w:right w:val="none" w:sz="0" w:space="0" w:color="auto"/>
          </w:divBdr>
        </w:div>
        <w:div w:id="1658411881">
          <w:marLeft w:val="274"/>
          <w:marRight w:val="0"/>
          <w:marTop w:val="60"/>
          <w:marBottom w:val="60"/>
          <w:divBdr>
            <w:top w:val="none" w:sz="0" w:space="0" w:color="auto"/>
            <w:left w:val="none" w:sz="0" w:space="0" w:color="auto"/>
            <w:bottom w:val="none" w:sz="0" w:space="0" w:color="auto"/>
            <w:right w:val="none" w:sz="0" w:space="0" w:color="auto"/>
          </w:divBdr>
        </w:div>
      </w:divsChild>
    </w:div>
    <w:div w:id="2106535602">
      <w:bodyDiv w:val="1"/>
      <w:marLeft w:val="0"/>
      <w:marRight w:val="0"/>
      <w:marTop w:val="0"/>
      <w:marBottom w:val="0"/>
      <w:divBdr>
        <w:top w:val="none" w:sz="0" w:space="0" w:color="auto"/>
        <w:left w:val="none" w:sz="0" w:space="0" w:color="auto"/>
        <w:bottom w:val="none" w:sz="0" w:space="0" w:color="auto"/>
        <w:right w:val="none" w:sz="0" w:space="0" w:color="auto"/>
      </w:divBdr>
    </w:div>
    <w:div w:id="2124886747">
      <w:bodyDiv w:val="1"/>
      <w:marLeft w:val="0"/>
      <w:marRight w:val="0"/>
      <w:marTop w:val="0"/>
      <w:marBottom w:val="0"/>
      <w:divBdr>
        <w:top w:val="none" w:sz="0" w:space="0" w:color="auto"/>
        <w:left w:val="none" w:sz="0" w:space="0" w:color="auto"/>
        <w:bottom w:val="none" w:sz="0" w:space="0" w:color="auto"/>
        <w:right w:val="none" w:sz="0" w:space="0" w:color="auto"/>
      </w:divBdr>
      <w:divsChild>
        <w:div w:id="99840476">
          <w:marLeft w:val="547"/>
          <w:marRight w:val="0"/>
          <w:marTop w:val="60"/>
          <w:marBottom w:val="60"/>
          <w:divBdr>
            <w:top w:val="none" w:sz="0" w:space="0" w:color="auto"/>
            <w:left w:val="none" w:sz="0" w:space="0" w:color="auto"/>
            <w:bottom w:val="none" w:sz="0" w:space="0" w:color="auto"/>
            <w:right w:val="none" w:sz="0" w:space="0" w:color="auto"/>
          </w:divBdr>
        </w:div>
        <w:div w:id="1032534978">
          <w:marLeft w:val="547"/>
          <w:marRight w:val="0"/>
          <w:marTop w:val="60"/>
          <w:marBottom w:val="60"/>
          <w:divBdr>
            <w:top w:val="none" w:sz="0" w:space="0" w:color="auto"/>
            <w:left w:val="none" w:sz="0" w:space="0" w:color="auto"/>
            <w:bottom w:val="none" w:sz="0" w:space="0" w:color="auto"/>
            <w:right w:val="none" w:sz="0" w:space="0" w:color="auto"/>
          </w:divBdr>
        </w:div>
        <w:div w:id="1421945018">
          <w:marLeft w:val="547"/>
          <w:marRight w:val="0"/>
          <w:marTop w:val="60"/>
          <w:marBottom w:val="60"/>
          <w:divBdr>
            <w:top w:val="none" w:sz="0" w:space="0" w:color="auto"/>
            <w:left w:val="none" w:sz="0" w:space="0" w:color="auto"/>
            <w:bottom w:val="none" w:sz="0" w:space="0" w:color="auto"/>
            <w:right w:val="none" w:sz="0" w:space="0" w:color="auto"/>
          </w:divBdr>
        </w:div>
        <w:div w:id="1692610713">
          <w:marLeft w:val="547"/>
          <w:marRight w:val="0"/>
          <w:marTop w:val="6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footer" Target="footer6.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app.powerbi.com/groups/me/reports/22c0af1c-c4e9-4cb8-a33b-268e165ce356?ctid=e354cba3-2efc-41cb-9647-b0588f9346ab" TargetMode="External"/><Relationship Id="rId23" Type="http://schemas.openxmlformats.org/officeDocument/2006/relationships/footer" Target="footer4.xm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pp.powerbi.com/groups/me/reports/22c0af1c-c4e9-4cb8-a33b-268e165ce356?ctid=e354cba3-2efc-41cb-9647-b0588f9346ab" TargetMode="Externa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Hatch\Templates\Hatch%20Regeneris\Hatch%20Regeneris%202018.dotm" TargetMode="External"/></Relationships>
</file>

<file path=word/theme/theme1.xml><?xml version="1.0" encoding="utf-8"?>
<a:theme xmlns:a="http://schemas.openxmlformats.org/drawingml/2006/main" name="Regeneris 2017">
  <a:themeElements>
    <a:clrScheme name="Regeneris 2017 Updated">
      <a:dk1>
        <a:srgbClr val="000000"/>
      </a:dk1>
      <a:lt1>
        <a:srgbClr val="FFFFFF"/>
      </a:lt1>
      <a:dk2>
        <a:srgbClr val="273641"/>
      </a:dk2>
      <a:lt2>
        <a:srgbClr val="74818C"/>
      </a:lt2>
      <a:accent1>
        <a:srgbClr val="052D3F"/>
      </a:accent1>
      <a:accent2>
        <a:srgbClr val="08445E"/>
      </a:accent2>
      <a:accent3>
        <a:srgbClr val="316379"/>
      </a:accent3>
      <a:accent4>
        <a:srgbClr val="84A2AF"/>
      </a:accent4>
      <a:accent5>
        <a:srgbClr val="ADC1C9"/>
      </a:accent5>
      <a:accent6>
        <a:srgbClr val="FF5000"/>
      </a:accent6>
      <a:hlink>
        <a:srgbClr val="FF5000"/>
      </a:hlink>
      <a:folHlink>
        <a:srgbClr val="C04500"/>
      </a:folHlink>
    </a:clrScheme>
    <a:fontScheme name="Regeneris 2017">
      <a:majorFont>
        <a:latin typeface="Yu Gothic"/>
        <a:ea typeface=""/>
        <a:cs typeface=""/>
      </a:majorFont>
      <a:minorFont>
        <a:latin typeface="Yu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generis 2017" id="{E05C60A5-B337-45DA-9C5B-3FB6BEB33D97}" vid="{A41AA955-FCA4-43C8-9629-C66D0475DA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ject Report" ma:contentTypeID="0x01010084DB9473DF7A124EBAF66DE8980413D4040600E3E9D58FE555DF4F906FA2ADE0DCBD05" ma:contentTypeVersion="19" ma:contentTypeDescription="" ma:contentTypeScope="" ma:versionID="a9594c132fadfdb0ad3b8bdd62d313a3">
  <xsd:schema xmlns:xsd="http://www.w3.org/2001/XMLSchema" xmlns:xs="http://www.w3.org/2001/XMLSchema" xmlns:p="http://schemas.microsoft.com/office/2006/metadata/properties" xmlns:ns2="c0c7e6f7-d33b-4b19-a38e-fe19b14be352" xmlns:ns3="893802D4-F8D4-4E61-B6C5-4B886808476C" xmlns:ns4="893802d4-f8d4-4e61-b6c5-4b886808476c" targetNamespace="http://schemas.microsoft.com/office/2006/metadata/properties" ma:root="true" ma:fieldsID="c30b110a4052b28d9d2e08fd67545dd3" ns2:_="" ns3:_="" ns4:_="">
    <xsd:import namespace="c0c7e6f7-d33b-4b19-a38e-fe19b14be352"/>
    <xsd:import namespace="893802D4-F8D4-4E61-B6C5-4B886808476C"/>
    <xsd:import namespace="893802d4-f8d4-4e61-b6c5-4b886808476c"/>
    <xsd:element name="properties">
      <xsd:complexType>
        <xsd:sequence>
          <xsd:element name="documentManagement">
            <xsd:complexType>
              <xsd:all>
                <xsd:element ref="ns2:Job_x0020_Number" minOccurs="0"/>
                <xsd:element ref="ns3:MediaServiceMetadata" minOccurs="0"/>
                <xsd:element ref="ns3: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7e6f7-d33b-4b19-a38e-fe19b14be352" elementFormDefault="qualified">
    <xsd:import namespace="http://schemas.microsoft.com/office/2006/documentManagement/types"/>
    <xsd:import namespace="http://schemas.microsoft.com/office/infopath/2007/PartnerControls"/>
    <xsd:element name="Job_x0020_Number" ma:index="8" nillable="true" ma:displayName="Job Number" ma:internalName="Job_x0020_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3802D4-F8D4-4E61-B6C5-4B886808476C"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3802d4-f8d4-4e61-b6c5-4b886808476c" elementFormDefault="qualified">
    <xsd:import namespace="http://schemas.microsoft.com/office/2006/documentManagement/types"/>
    <xsd:import namespace="http://schemas.microsoft.com/office/infopath/2007/PartnerControls"/>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ob_x0020_Number xmlns="c0c7e6f7-d33b-4b19-a38e-fe19b14be352" xsi:nil="true"/>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1212C-8DB7-4B22-959D-2079AB6CB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7e6f7-d33b-4b19-a38e-fe19b14be352"/>
    <ds:schemaRef ds:uri="893802D4-F8D4-4E61-B6C5-4B886808476C"/>
    <ds:schemaRef ds:uri="893802d4-f8d4-4e61-b6c5-4b88680847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16A609-0BC2-4081-9487-1515306806F4}">
  <ds:schemaRefs>
    <ds:schemaRef ds:uri="http://schemas.microsoft.com/sharepoint/v3/contenttype/forms"/>
  </ds:schemaRefs>
</ds:datastoreItem>
</file>

<file path=customXml/itemProps3.xml><?xml version="1.0" encoding="utf-8"?>
<ds:datastoreItem xmlns:ds="http://schemas.openxmlformats.org/officeDocument/2006/customXml" ds:itemID="{57AE1566-87DD-4994-BEB9-7765DFFE08D0}">
  <ds:schemaRefs>
    <ds:schemaRef ds:uri="http://purl.org/dc/elements/1.1/"/>
    <ds:schemaRef ds:uri="http://schemas.microsoft.com/office/2006/metadata/properties"/>
    <ds:schemaRef ds:uri="c0c7e6f7-d33b-4b19-a38e-fe19b14be352"/>
    <ds:schemaRef ds:uri="893802D4-F8D4-4E61-B6C5-4B886808476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93802d4-f8d4-4e61-b6c5-4b886808476c"/>
    <ds:schemaRef ds:uri="http://www.w3.org/XML/1998/namespace"/>
    <ds:schemaRef ds:uri="http://purl.org/dc/dcmitype/"/>
  </ds:schemaRefs>
</ds:datastoreItem>
</file>

<file path=customXml/itemProps4.xml><?xml version="1.0" encoding="utf-8"?>
<ds:datastoreItem xmlns:ds="http://schemas.openxmlformats.org/officeDocument/2006/customXml" ds:itemID="{1CE38A3C-3B4B-40B3-ABA8-CD0BE954B3A6}">
  <ds:schemaRefs>
    <ds:schemaRef ds:uri="http://schemas.microsoft.com/office/2006/metadata/customXsn"/>
  </ds:schemaRefs>
</ds:datastoreItem>
</file>

<file path=customXml/itemProps5.xml><?xml version="1.0" encoding="utf-8"?>
<ds:datastoreItem xmlns:ds="http://schemas.openxmlformats.org/officeDocument/2006/customXml" ds:itemID="{77B9980F-412B-416F-82E9-9B19AE523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Hatch Regeneris 2018.dotm</Template>
  <TotalTime>39</TotalTime>
  <Pages>47</Pages>
  <Words>15953</Words>
  <Characters>90934</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106674</CharactersWithSpaces>
  <SharedDoc>false</SharedDoc>
  <HLinks>
    <vt:vector size="48" baseType="variant">
      <vt:variant>
        <vt:i4>1835068</vt:i4>
      </vt:variant>
      <vt:variant>
        <vt:i4>56</vt:i4>
      </vt:variant>
      <vt:variant>
        <vt:i4>0</vt:i4>
      </vt:variant>
      <vt:variant>
        <vt:i4>5</vt:i4>
      </vt:variant>
      <vt:variant>
        <vt:lpwstr/>
      </vt:variant>
      <vt:variant>
        <vt:lpwstr>_Toc21548836</vt:lpwstr>
      </vt:variant>
      <vt:variant>
        <vt:i4>2031676</vt:i4>
      </vt:variant>
      <vt:variant>
        <vt:i4>50</vt:i4>
      </vt:variant>
      <vt:variant>
        <vt:i4>0</vt:i4>
      </vt:variant>
      <vt:variant>
        <vt:i4>5</vt:i4>
      </vt:variant>
      <vt:variant>
        <vt:lpwstr/>
      </vt:variant>
      <vt:variant>
        <vt:lpwstr>_Toc21548835</vt:lpwstr>
      </vt:variant>
      <vt:variant>
        <vt:i4>1966140</vt:i4>
      </vt:variant>
      <vt:variant>
        <vt:i4>44</vt:i4>
      </vt:variant>
      <vt:variant>
        <vt:i4>0</vt:i4>
      </vt:variant>
      <vt:variant>
        <vt:i4>5</vt:i4>
      </vt:variant>
      <vt:variant>
        <vt:lpwstr/>
      </vt:variant>
      <vt:variant>
        <vt:lpwstr>_Toc21548834</vt:lpwstr>
      </vt:variant>
      <vt:variant>
        <vt:i4>1638460</vt:i4>
      </vt:variant>
      <vt:variant>
        <vt:i4>38</vt:i4>
      </vt:variant>
      <vt:variant>
        <vt:i4>0</vt:i4>
      </vt:variant>
      <vt:variant>
        <vt:i4>5</vt:i4>
      </vt:variant>
      <vt:variant>
        <vt:lpwstr/>
      </vt:variant>
      <vt:variant>
        <vt:lpwstr>_Toc21548833</vt:lpwstr>
      </vt:variant>
      <vt:variant>
        <vt:i4>1572924</vt:i4>
      </vt:variant>
      <vt:variant>
        <vt:i4>32</vt:i4>
      </vt:variant>
      <vt:variant>
        <vt:i4>0</vt:i4>
      </vt:variant>
      <vt:variant>
        <vt:i4>5</vt:i4>
      </vt:variant>
      <vt:variant>
        <vt:lpwstr/>
      </vt:variant>
      <vt:variant>
        <vt:lpwstr>_Toc21548832</vt:lpwstr>
      </vt:variant>
      <vt:variant>
        <vt:i4>1769532</vt:i4>
      </vt:variant>
      <vt:variant>
        <vt:i4>26</vt:i4>
      </vt:variant>
      <vt:variant>
        <vt:i4>0</vt:i4>
      </vt:variant>
      <vt:variant>
        <vt:i4>5</vt:i4>
      </vt:variant>
      <vt:variant>
        <vt:lpwstr/>
      </vt:variant>
      <vt:variant>
        <vt:lpwstr>_Toc21548831</vt:lpwstr>
      </vt:variant>
      <vt:variant>
        <vt:i4>1703996</vt:i4>
      </vt:variant>
      <vt:variant>
        <vt:i4>20</vt:i4>
      </vt:variant>
      <vt:variant>
        <vt:i4>0</vt:i4>
      </vt:variant>
      <vt:variant>
        <vt:i4>5</vt:i4>
      </vt:variant>
      <vt:variant>
        <vt:lpwstr/>
      </vt:variant>
      <vt:variant>
        <vt:lpwstr>_Toc21548830</vt:lpwstr>
      </vt:variant>
      <vt:variant>
        <vt:i4>4653065</vt:i4>
      </vt:variant>
      <vt:variant>
        <vt:i4>0</vt:i4>
      </vt:variant>
      <vt:variant>
        <vt:i4>0</vt:i4>
      </vt:variant>
      <vt:variant>
        <vt:i4>5</vt:i4>
      </vt:variant>
      <vt:variant>
        <vt:lpwstr>https://app.powerbi.com/groups/me/reports/22c0af1c-c4e9-4cb8-a33b-268e165ce356?ctid=e354cba3-2efc-41cb-9647-b0588f9346ab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Paddock, Chris</dc:creator>
  <cp:keywords/>
  <dc:description/>
  <cp:lastModifiedBy>Davies Matt</cp:lastModifiedBy>
  <cp:revision>3</cp:revision>
  <cp:lastPrinted>2019-10-25T15:43:00Z</cp:lastPrinted>
  <dcterms:created xsi:type="dcterms:W3CDTF">2019-11-29T16:42:00Z</dcterms:created>
  <dcterms:modified xsi:type="dcterms:W3CDTF">2019-12-02T11:05:00Z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0x01010084DB9473DF7A124EBAF66DE8980413D4040600E3E9D58FE555DF4F906FA2ADE0DCBD05</vt:lpwstr>
  </property>
  <property fmtid="{D5CDD505-2E9C-101B-9397-08002B2CF9AE}" pid="3" name="TaxCatchAll">
    <vt:lpwstr>2;#English|d2e41eeb-58cb-4edb-8895-6952b3b73d08</vt:lpwstr>
  </property>
  <property fmtid="{D5CDD505-2E9C-101B-9397-08002B2CF9AE}" pid="4" name="Language1">
    <vt:lpwstr>2;#English|d2e41eeb-58cb-4edb-8895-6952b3b73d08</vt:lpwstr>
  </property>
  <property fmtid="{D5CDD505-2E9C-101B-9397-08002B2CF9AE}" pid="5" name="h00f42b1727c4fb5a7d8cd081875f974">
    <vt:lpwstr>English|d2e41eeb-58cb-4edb-8895-6952b3b73d08</vt:lpwstr>
  </property>
  <property fmtid="{D5CDD505-2E9C-101B-9397-08002B2CF9AE}" pid="6" name="AuthorIds_UIVersion_54">
    <vt:lpwstr>122</vt:lpwstr>
  </property>
</Properties>
</file>